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tbl>
      <w:tblPr>
        <w:tblW w:w="0" w:type="auto"/>
        <w:tblLook w:val="04A0" w:firstRow="1" w:lastRow="0" w:firstColumn="1" w:lastColumn="0" w:noHBand="0" w:noVBand="1"/>
        <w:jc w:val="center"/>
        <w:tblCellMar>
          <w:top w:w="15" w:type="dxa"/>
          <w:left w:w="15" w:type="dxa"/>
          <w:bottom w:w="15" w:type="dxa"/>
          <w:right w:w="15" w:type="dxa"/>
        </w:tblCellMar>
      </w:tblPr>
      <w:tblGrid>
        <w:gridCol w:w="3943"/>
        <w:gridCol w:w="4159"/>
        <w:gridCol w:w="234"/>
        <w:gridCol w:w="1345"/>
      </w:tblGrid>
      <w:tr>
        <w:trPr>
          <w:jc w:val="center"/>
          <w:trHeight w:val="1361" w:hRule="atLeast"/>
        </w:trPr>
        <w:tc>
          <w:tcPr>
            <w:tcW w:w="3943" w:type="dxa"/>
            <w:tcBorders>
              <w:top w:val="single" w:sz="12" w:space="0" w:color="353535"/>
              <w:left w:val="nil"/>
              <w:bottom w:val="single" w:sz="2" w:space="0" w:color="939393"/>
              <w:right w:val="dotted" w:sz="2" w:space="0" w:color="000000"/>
            </w:tcBorders>
            <w:tcMar>
              <w:top w:w="28" w:type="dxa"/>
              <w:left w:w="28" w:type="dxa"/>
              <w:bottom w:w="28" w:type="dxa"/>
              <w:right w:w="28" w:type="dxa"/>
            </w:tcMar>
            <w:vAlign w:val="center"/>
            <w:hideMark/>
          </w:tcPr>
          <w:p>
            <w:pPr>
              <w:autoSpaceDE/>
              <w:autoSpaceDN/>
              <w:widowControl/>
              <w:wordWrap/>
              <w:snapToGrid w:val="0"/>
              <w:jc w:val="center"/>
              <w:spacing w:after="0" w:line="312" w:lineRule="auto"/>
              <w:rPr>
                <w:rFonts w:ascii="함초롬바탕" w:eastAsia="함초롬바탕" w:hAnsi="함초롬바탕" w:cs="굴림"/>
                <w:b/>
                <w:bCs/>
                <w:color w:val="000000"/>
                <w:sz w:val="24"/>
                <w:szCs w:val="24"/>
                <w:kern w:val="0"/>
              </w:rPr>
            </w:pPr>
            <w:r>
              <w:rPr>
                <w:rFonts w:ascii="함초롬바탕" w:eastAsia="함초롬바탕" w:hAnsi="함초롬바탕" w:cs="굴림"/>
                <w:b/>
                <w:noProof/>
                <w:color w:val="000000"/>
                <w:sz w:val="24"/>
                <w:szCs w:val="24"/>
                <w:kern w:val="0"/>
              </w:rPr>
              <w:drawing>
                <wp:inline distT="0" distB="0" distL="0" distR="0">
                  <wp:extent cx="1447800" cy="847725"/>
                  <wp:effectExtent l="0" t="0" r="0" b="0"/>
                  <wp:docPr id="1025" name="shape1025"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pic:cNvPicPr>
                        </pic:nvPicPr>
                        <pic:blipFill>
                          <a:blip r:embed="rId1">
                            <a:extLst>
                              <a:ext uri="{28A0092B-C50C-407E-A947-70E740481C1C}">
                                <a14:useLocalDpi xmlns:a14="http://schemas.microsoft.com/office/drawing/2010/main" val="0"/>
                              </a:ext>
                            </a:extLst>
                          </a:blip>
                          <a:srcRect/>
                          <a:stretch>
                            <a:fillRect/>
                          </a:stretch>
                        </pic:blipFill>
                        <pic:spPr>
                          <a:xfrm>
                            <a:off x="0" y="0"/>
                            <a:ext cx="1447800" cy="847725"/>
                          </a:xfrm>
                          <a:prstGeom prst="rect"/>
                          <a:noFill/>
                          <a:ln>
                            <a:noFill/>
                            <a:miter lim="800000"/>
                          </a:ln>
                        </pic:spPr>
                      </pic:pic>
                    </a:graphicData>
                  </a:graphic>
                </wp:inline>
              </w:drawing>
            </w:r>
          </w:p>
        </w:tc>
        <w:tc>
          <w:tcPr>
            <w:tcW w:w="4159" w:type="dxa"/>
            <w:tcBorders>
              <w:top w:val="single" w:sz="12" w:space="0" w:color="353535"/>
              <w:left w:val="dotted" w:sz="2" w:space="0" w:color="000000"/>
              <w:bottom w:val="single" w:sz="2" w:space="0" w:color="939393"/>
              <w:right w:val="dotted" w:sz="2" w:space="0" w:color="000000"/>
            </w:tcBorders>
            <w:tcMar>
              <w:top w:w="28" w:type="dxa"/>
              <w:left w:w="28" w:type="dxa"/>
              <w:bottom w:w="28" w:type="dxa"/>
              <w:right w:w="28" w:type="dxa"/>
            </w:tcMar>
            <w:vAlign w:val="center"/>
            <w:hideMark/>
          </w:tcPr>
          <w:p>
            <w:pPr>
              <w:ind w:left="120" w:right="120"/>
              <w:autoSpaceDE/>
              <w:autoSpaceDN/>
              <w:widowControl/>
              <w:wordWrap/>
              <w:snapToGrid w:val="0"/>
              <w:jc w:val="center"/>
              <w:spacing w:after="0" w:line="384" w:lineRule="auto"/>
              <w:rPr>
                <w:rFonts w:ascii="돋움" w:eastAsia="돋움" w:hAnsi="돋움" w:cs="굴림"/>
                <w:b/>
                <w:bCs/>
                <w:color w:val="0000FF"/>
                <w:sz w:val="23"/>
                <w:szCs w:val="23"/>
                <w:kern w:val="0"/>
              </w:rPr>
            </w:pPr>
            <w:r>
              <w:rPr>
                <w:rFonts w:ascii="함초롬바탕" w:eastAsia="함초롬바탕" w:hAnsi="함초롬바탕" w:cs="굴림"/>
                <w:b/>
                <w:noProof/>
                <w:color w:val="000000"/>
                <w:sz w:val="24"/>
                <w:szCs w:val="24"/>
                <w:kern w:val="0"/>
              </w:rPr>
              <w:drawing>
                <wp:inline distT="0" distB="0" distL="0" distR="0">
                  <wp:extent cx="1295400" cy="647700"/>
                  <wp:effectExtent l="0" t="0" r="0" b="0"/>
                  <wp:docPr id="1026" name="shape1026" hidden="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pic:cNvPicPr>
                        </pic:nvPicPr>
                        <pic:blipFill>
                          <a:blip r:embed="rId2">
                            <a:extLst>
                              <a:ext uri="{28A0092B-C50C-407E-A947-70E740481C1C}">
                                <a14:useLocalDpi xmlns:a14="http://schemas.microsoft.com/office/drawing/2010/main" val="0"/>
                              </a:ext>
                            </a:extLst>
                          </a:blip>
                          <a:srcRect/>
                          <a:stretch>
                            <a:fillRect/>
                          </a:stretch>
                        </pic:blipFill>
                        <pic:spPr>
                          <a:xfrm>
                            <a:off x="0" y="0"/>
                            <a:ext cx="1295400" cy="647700"/>
                          </a:xfrm>
                          <a:prstGeom prst="rect"/>
                          <a:noFill/>
                          <a:ln>
                            <a:noFill/>
                            <a:miter lim="800000"/>
                          </a:ln>
                        </pic:spPr>
                      </pic:pic>
                    </a:graphicData>
                  </a:graphic>
                </wp:inline>
              </w:drawing>
            </w:r>
          </w:p>
        </w:tc>
        <w:tc>
          <w:tcPr>
            <w:tcW w:w="1579" w:type="dxa"/>
            <w:gridSpan w:val="2"/>
            <w:tcBorders>
              <w:top w:val="single" w:sz="12" w:space="0" w:color="353535"/>
              <w:left w:val="dotted" w:sz="2" w:space="0" w:color="000000"/>
              <w:bottom w:val="single" w:sz="2" w:space="0" w:color="939393"/>
              <w:right w:val="dotted" w:sz="2" w:space="0" w:color="000000"/>
            </w:tcBorders>
          </w:tcPr>
          <w:p>
            <w:pPr>
              <w:ind w:left="120" w:right="120"/>
              <w:autoSpaceDE/>
              <w:autoSpaceDN/>
              <w:widowControl/>
              <w:wordWrap/>
              <w:snapToGrid w:val="0"/>
              <w:spacing w:after="0" w:line="384" w:lineRule="auto"/>
              <w:rPr>
                <w:rFonts w:ascii="HY견고딕" w:eastAsia="HY견고딕" w:hAnsi="Times New Roman"/>
                <w:sz w:val="18"/>
                <w:szCs w:val="20"/>
              </w:rPr>
            </w:pPr>
            <w:r>
              <w:rPr>
                <w:rFonts w:ascii="HY견고딕" w:eastAsia="HY견고딕" w:hAnsi="Times New Roman"/>
                <w:sz w:val="18"/>
                <w:szCs w:val="20"/>
              </w:rPr>
              <w:t>Korea</w:t>
            </w:r>
          </w:p>
          <w:p>
            <w:pPr>
              <w:ind w:left="120" w:right="120"/>
              <w:autoSpaceDE/>
              <w:autoSpaceDN/>
              <w:widowControl/>
              <w:wordWrap/>
              <w:snapToGrid w:val="0"/>
              <w:spacing w:after="0" w:line="384" w:lineRule="auto"/>
              <w:rPr>
                <w:rFonts w:ascii="HY견고딕" w:eastAsia="HY견고딕" w:hAnsi="Times New Roman"/>
                <w:sz w:val="18"/>
                <w:szCs w:val="20"/>
              </w:rPr>
            </w:pPr>
            <w:r>
              <w:rPr>
                <w:rFonts w:ascii="HY견고딕" w:eastAsia="HY견고딕" w:hAnsi="Times New Roman"/>
                <w:sz w:val="18"/>
                <w:szCs w:val="20"/>
              </w:rPr>
              <w:t>Heritage</w:t>
            </w:r>
          </w:p>
          <w:p>
            <w:pPr>
              <w:ind w:left="120" w:right="120"/>
              <w:autoSpaceDE/>
              <w:autoSpaceDN/>
              <w:widowControl/>
              <w:wordWrap/>
              <w:snapToGrid w:val="0"/>
              <w:spacing w:after="0" w:line="384" w:lineRule="auto"/>
              <w:rPr>
                <w:rFonts w:ascii="HY견고딕" w:eastAsia="HY견고딕" w:hAnsi="Times New Roman"/>
                <w:sz w:val="18"/>
                <w:szCs w:val="20"/>
              </w:rPr>
            </w:pPr>
            <w:r>
              <w:rPr>
                <w:rFonts w:ascii="HY견고딕" w:eastAsia="HY견고딕" w:hAnsi="Times New Roman"/>
                <w:sz w:val="18"/>
                <w:szCs w:val="20"/>
              </w:rPr>
              <w:t>Service</w:t>
            </w:r>
          </w:p>
          <w:p>
            <w:pPr>
              <w:ind w:left="120" w:right="120"/>
              <w:autoSpaceDE/>
              <w:autoSpaceDN/>
              <w:widowControl/>
              <w:wordWrap/>
              <w:snapToGrid w:val="0"/>
              <w:spacing w:after="0" w:line="384" w:lineRule="auto"/>
              <w:rPr>
                <w:rFonts w:ascii="함초롬바탕" w:eastAsia="함초롬바탕" w:hAnsi="함초롬바탕" w:cs="굴림"/>
                <w:b/>
                <w:bCs/>
                <w:color w:val="000000"/>
                <w:sz w:val="50"/>
                <w:szCs w:val="50"/>
                <w:kern w:val="0"/>
              </w:rPr>
            </w:pPr>
            <w:r>
              <w:rPr>
                <w:rFonts w:ascii="HY견고딕" w:eastAsia="HY견고딕" w:hAnsi="Times New Roman"/>
                <w:sz w:val="18"/>
                <w:szCs w:val="20"/>
              </w:rPr>
              <w:t>NEWS</w:t>
            </w:r>
            <w:r>
              <w:rPr>
                <w:rFonts w:ascii="Times New Roman" w:eastAsia="휴먼명조" w:hAnsi="Times New Roman"/>
                <w:sz w:val="24"/>
                <w:szCs w:val="26"/>
              </w:rPr>
              <w:t xml:space="preserve"> </w:t>
            </w:r>
          </w:p>
        </w:tc>
      </w:tr>
      <w:tr>
        <w:trPr>
          <w:jc w:val="center"/>
          <w:trHeight w:val="937" w:hRule="atLeast"/>
        </w:trPr>
        <w:tc>
          <w:tcPr>
            <w:tcW w:w="8102" w:type="dxa"/>
            <w:gridSpan w:val="2"/>
            <w:tcBorders>
              <w:top w:val="single" w:sz="2" w:space="0" w:color="939393"/>
              <w:left w:val="nil"/>
              <w:bottom w:val="single" w:sz="12" w:space="0" w:color="353535"/>
              <w:right w:val="nil"/>
            </w:tcBorders>
            <w:tcMar>
              <w:top w:w="28" w:type="dxa"/>
              <w:left w:w="28" w:type="dxa"/>
              <w:bottom w:w="28" w:type="dxa"/>
              <w:right w:w="28" w:type="dxa"/>
            </w:tcMar>
            <w:vAlign w:val="center"/>
            <w:hideMark/>
          </w:tcPr>
          <w:p>
            <w:pPr>
              <w:ind w:left="1100" w:right="120" w:hangingChars="550" w:hanging="1100"/>
              <w:autoSpaceDE/>
              <w:autoSpaceDN/>
              <w:widowControl/>
              <w:wordWrap/>
              <w:snapToGrid w:val="0"/>
              <w:jc w:val="left"/>
              <w:spacing w:after="0" w:line="384" w:lineRule="auto"/>
              <w:rPr>
                <w:rFonts w:ascii="HY견고딕" w:eastAsia="HY견고딕" w:hAnsi="돋움" w:cs="굴림"/>
                <w:color w:val="000000"/>
                <w:szCs w:val="20"/>
                <w:kern w:val="0"/>
              </w:rPr>
            </w:pPr>
            <w:r>
              <w:rPr>
                <w:rFonts w:ascii="HY견고딕" w:eastAsia="HY견고딕" w:hAnsi="돋움" w:cs="굴림"/>
                <w:color w:val="000000"/>
                <w:szCs w:val="20"/>
                <w:kern w:val="0"/>
              </w:rPr>
              <w:t>Division: National Research institute of Cultural Heritage</w:t>
            </w:r>
          </w:p>
          <w:p>
            <w:pPr>
              <w:ind w:right="120" w:firstLineChars="500" w:firstLine="1000"/>
              <w:autoSpaceDE/>
              <w:autoSpaceDN/>
              <w:widowControl/>
              <w:wordWrap/>
              <w:snapToGrid w:val="0"/>
              <w:jc w:val="left"/>
              <w:spacing w:after="0" w:line="384" w:lineRule="auto"/>
              <w:rPr>
                <w:rFonts w:ascii="HY견고딕" w:eastAsia="HY견고딕" w:hAnsi="돋움" w:cs="굴림"/>
                <w:color w:val="000000"/>
                <w:szCs w:val="20"/>
                <w:kern w:val="0"/>
              </w:rPr>
            </w:pPr>
            <w:r>
              <w:rPr>
                <w:rFonts w:ascii="HY견고딕" w:eastAsia="HY견고딕" w:hAnsi="돋움" w:cs="굴림"/>
                <w:color w:val="000000"/>
                <w:szCs w:val="20"/>
                <w:kern w:val="0"/>
              </w:rPr>
              <w:t>Wanju National Research Institute of Cultural Heritage</w:t>
            </w:r>
          </w:p>
          <w:p>
            <w:pPr>
              <w:ind w:right="120"/>
              <w:autoSpaceDE/>
              <w:autoSpaceDN/>
              <w:widowControl/>
              <w:wordWrap/>
              <w:snapToGrid w:val="0"/>
              <w:jc w:val="left"/>
              <w:spacing w:after="0" w:line="384" w:lineRule="auto"/>
              <w:rPr>
                <w:rFonts w:ascii="HY견고딕" w:eastAsia="HY견고딕" w:hAnsi="돋움" w:cs="굴림"/>
                <w:szCs w:val="20"/>
                <w:kern w:val="0"/>
              </w:rPr>
            </w:pPr>
            <w:r>
              <w:rPr>
                <w:rFonts w:ascii="HY견고딕" w:eastAsia="HY견고딕" w:hAnsi="돋움" w:cs="굴림"/>
                <w:color w:val="000000"/>
                <w:szCs w:val="20"/>
                <w:kern w:val="0"/>
              </w:rPr>
              <w:t>Contact person</w:t>
            </w:r>
            <w:r>
              <w:rPr>
                <w:rFonts w:ascii="HY견고딕" w:eastAsia="HY견고딕" w:hAnsi="돋움" w:cs="굴림"/>
                <w:szCs w:val="20"/>
                <w:kern w:val="0"/>
              </w:rPr>
              <w:t>: So Jae Yun(</w:t>
            </w:r>
            <w:r>
              <w:rPr>
                <w:rFonts w:ascii="HY견고딕" w:eastAsia="HY견고딕" w:hAnsi="돋움" w:cs="굴림"/>
                <w:color w:val="000000"/>
                <w:szCs w:val="20"/>
                <w:kern w:val="0"/>
              </w:rPr>
              <w:t>063</w:t>
            </w:r>
            <w:r>
              <w:rPr>
                <w:rFonts w:ascii="HY견고딕" w:eastAsia="HY견고딕" w:hAnsi="돋움" w:cs="굴림"/>
                <w:color w:val="000000"/>
                <w:szCs w:val="20"/>
                <w:kern w:val="0"/>
              </w:rPr>
              <w:softHyphen/>
            </w:r>
            <w:r>
              <w:rPr>
                <w:rFonts w:ascii="HY견고딕" w:eastAsia="HY견고딕" w:hAnsi="돋움" w:cs="굴림"/>
                <w:color w:val="000000"/>
                <w:szCs w:val="20"/>
                <w:kern w:val="0"/>
              </w:rPr>
              <w:t>-</w:t>
            </w:r>
            <w:r>
              <w:rPr>
                <w:rFonts w:ascii="HY견고딕" w:eastAsia="HY견고딕" w:hAnsi="돋움" w:cs="굴림" w:hint="eastAsia"/>
                <w:color w:val="000000"/>
                <w:szCs w:val="20"/>
                <w:kern w:val="0"/>
              </w:rPr>
              <w:t>290</w:t>
            </w:r>
            <w:r>
              <w:rPr>
                <w:rFonts w:ascii="HY견고딕" w:eastAsia="HY견고딕" w:hAnsi="돋움" w:cs="굴림"/>
                <w:color w:val="000000"/>
                <w:szCs w:val="20"/>
                <w:kern w:val="0"/>
              </w:rPr>
              <w:t>-9320</w:t>
            </w:r>
            <w:r>
              <w:rPr>
                <w:rFonts w:ascii="HY견고딕" w:eastAsia="HY견고딕" w:hAnsi="돋움" w:cs="굴림"/>
                <w:szCs w:val="20"/>
                <w:kern w:val="0"/>
              </w:rPr>
              <w:t xml:space="preserve">), </w:t>
            </w:r>
          </w:p>
          <w:p>
            <w:pPr>
              <w:ind w:right="120" w:firstLineChars="900" w:firstLine="1800"/>
              <w:autoSpaceDE/>
              <w:autoSpaceDN/>
              <w:widowControl/>
              <w:wordWrap/>
              <w:snapToGrid w:val="0"/>
              <w:jc w:val="left"/>
              <w:spacing w:after="0" w:line="384" w:lineRule="auto"/>
              <w:rPr>
                <w:rFonts w:ascii="돋움" w:eastAsia="돋움" w:hAnsi="돋움" w:cs="굴림"/>
                <w:color w:val="000000"/>
                <w:sz w:val="22"/>
                <w:kern w:val="0"/>
              </w:rPr>
            </w:pPr>
            <w:r>
              <w:rPr>
                <w:rFonts w:ascii="HY견고딕" w:eastAsia="HY견고딕" w:hAnsi="돋움" w:cs="굴림"/>
                <w:color w:val="000000"/>
                <w:szCs w:val="20"/>
                <w:kern w:val="0"/>
              </w:rPr>
              <w:t>Kim Hwan Hee(063-290-</w:t>
            </w:r>
            <w:r>
              <w:rPr>
                <w:rFonts w:ascii="HY견고딕" w:eastAsia="HY견고딕" w:hAnsi="돋움" w:cs="굴림" w:hint="eastAsia"/>
                <w:color w:val="000000"/>
                <w:szCs w:val="20"/>
                <w:kern w:val="0"/>
              </w:rPr>
              <w:t>9</w:t>
            </w:r>
            <w:r>
              <w:rPr>
                <w:rFonts w:ascii="HY견고딕" w:eastAsia="HY견고딕" w:hAnsi="돋움" w:cs="굴림"/>
                <w:color w:val="000000"/>
                <w:szCs w:val="20"/>
                <w:kern w:val="0"/>
              </w:rPr>
              <w:t>324)</w:t>
            </w:r>
          </w:p>
        </w:tc>
        <w:tc>
          <w:tcPr>
            <w:tcW w:w="234" w:type="dxa"/>
            <w:tcBorders>
              <w:top w:val="single" w:sz="2" w:space="0" w:color="939393"/>
              <w:left w:val="nil"/>
              <w:bottom w:val="single" w:sz="12" w:space="0" w:color="353535"/>
              <w:right w:val="nil"/>
            </w:tcBorders>
          </w:tcPr>
          <w:p>
            <w:pPr>
              <w:ind w:left="120" w:right="120"/>
              <w:autoSpaceDE/>
              <w:autoSpaceDN/>
              <w:widowControl/>
              <w:wordWrap/>
              <w:snapToGrid w:val="0"/>
              <w:jc w:val="left"/>
              <w:spacing w:after="0" w:line="384" w:lineRule="auto"/>
              <w:rPr>
                <w:rFonts w:ascii="돋움" w:eastAsia="돋움" w:hAnsi="돋움" w:cs="굴림"/>
                <w:color w:val="000000"/>
                <w:sz w:val="22"/>
                <w:kern w:val="0"/>
              </w:rPr>
            </w:pPr>
          </w:p>
        </w:tc>
        <w:tc>
          <w:tcPr>
            <w:tcW w:w="1345" w:type="dxa"/>
            <w:tcBorders>
              <w:top w:val="single" w:sz="2" w:space="0" w:color="939393"/>
              <w:left w:val="nil"/>
              <w:bottom w:val="single" w:sz="12" w:space="0" w:color="353535"/>
              <w:right w:val="nil"/>
            </w:tcBorders>
          </w:tcPr>
          <w:p>
            <w:pPr>
              <w:ind w:left="120" w:right="120"/>
              <w:autoSpaceDE/>
              <w:autoSpaceDN/>
              <w:widowControl/>
              <w:wordWrap/>
              <w:snapToGrid w:val="0"/>
              <w:jc w:val="left"/>
              <w:spacing w:after="0" w:line="384" w:lineRule="auto"/>
              <w:rPr>
                <w:rFonts w:ascii="돋움" w:eastAsia="돋움" w:hAnsi="돋움" w:cs="굴림"/>
                <w:color w:val="000000"/>
                <w:sz w:val="22"/>
                <w:kern w:val="0"/>
              </w:rPr>
            </w:pPr>
          </w:p>
        </w:tc>
      </w:tr>
    </w:tbl>
    <w:p>
      <w:pPr>
        <w:pStyle w:val="a3"/>
        <w:spacing w:line="276" w:lineRule="auto"/>
        <w:rPr>
          <w:rFonts w:ascii="Times New Roman" w:eastAsia="휴먼명조" w:hAnsi="Times New Roman" w:cs="Times New Roman"/>
          <w:sz w:val="26"/>
          <w:szCs w:val="26"/>
        </w:rPr>
      </w:pPr>
    </w:p>
    <w:tbl>
      <w:tblPr>
        <w:tblOverlap w:val="never"/>
        <w:tblW w:w="0" w:type="auto"/>
        <w:tblInd w:w="607" w:type="dxa"/>
        <w:tblLook w:val="04A0" w:firstRow="1" w:lastRow="0" w:firstColumn="1" w:lastColumn="0" w:noHBand="0" w:noVBand="1"/>
        <w:tblCellMar>
          <w:top w:w="15" w:type="dxa"/>
          <w:left w:w="15" w:type="dxa"/>
          <w:bottom w:w="15" w:type="dxa"/>
          <w:right w:w="15" w:type="dxa"/>
        </w:tblCellMar>
      </w:tblPr>
      <w:tblGrid>
        <w:gridCol w:w="8761"/>
      </w:tblGrid>
      <w:tr>
        <w:trPr>
          <w:trHeight w:val="1920" w:hRule="atLeast"/>
        </w:trPr>
        <w:tc>
          <w:tcPr>
            <w:tcW w:w="8761" w:type="dxa"/>
            <w:tcBorders>
              <w:top w:val="nil"/>
              <w:left w:val="nil"/>
              <w:bottom w:val="nil"/>
              <w:right w:val="nil"/>
            </w:tcBorders>
            <w:shd w:val="clear" w:color="auto" w:fill="C6EBEB"/>
            <w:tcMar>
              <w:top w:w="113" w:type="dxa"/>
              <w:left w:w="113" w:type="dxa"/>
              <w:bottom w:w="113" w:type="dxa"/>
              <w:right w:w="113" w:type="dxa"/>
            </w:tcMar>
            <w:vAlign w:val="center"/>
            <w:hideMark/>
          </w:tcPr>
          <w:p>
            <w:pPr>
              <w:jc w:val="center"/>
              <w:rPr>
                <w:rFonts w:ascii="Times New Roman" w:eastAsia="Times New Roman" w:hAnsi="Times New Roman"/>
                <w:sz w:val="36"/>
                <w:szCs w:val="36"/>
              </w:rPr>
            </w:pPr>
            <w:r>
              <w:rPr>
                <w:rFonts w:ascii="Times New Roman" w:eastAsia="Times New Roman" w:hAnsi="Times New Roman"/>
                <w:b/>
                <w:bCs/>
                <w:sz w:val="36"/>
                <w:szCs w:val="36"/>
              </w:rPr>
              <w:t>International Academic Conference Held on "The Formation and Landscape Restoration of the Gochang Dolmen Site"</w:t>
            </w:r>
          </w:p>
          <w:p>
            <w:pPr>
              <w:jc w:val="center"/>
              <w:rPr>
                <w:rFonts w:ascii="Times New Roman" w:eastAsia="굴림" w:hAnsi="Times New Roman"/>
                <w:color w:val="000000"/>
                <w:szCs w:val="20"/>
                <w:kern w:val="0"/>
              </w:rPr>
            </w:pPr>
            <w:r>
              <w:rPr>
                <w:rFonts w:ascii="Times New Roman" w:eastAsia="굴림" w:hAnsi="Times New Roman"/>
                <w:color w:val="000000"/>
                <w:sz w:val="28"/>
                <w:szCs w:val="28"/>
                <w:kern w:val="0"/>
              </w:rPr>
              <w:t>-</w:t>
            </w:r>
            <w:r>
              <w:rPr>
                <w:rFonts w:ascii="Times New Roman" w:eastAsia="Times New Roman" w:hAnsi="Times New Roman"/>
                <w:sz w:val="28"/>
                <w:szCs w:val="28"/>
              </w:rPr>
              <w:t xml:space="preserve"> Sharing Research Findings on the Landscape Restoration of Domestic and Overseas Megalithic Monuments (Sept. 3, Gochang Wellpark Hotel Convention Center) </w:t>
            </w:r>
          </w:p>
        </w:tc>
      </w:tr>
    </w:tbl>
    <w:p>
      <w:pPr>
        <w:spacing w:after="0" w:line="384" w:lineRule="auto"/>
        <w:textAlignment w:val="baseline"/>
        <w:rPr>
          <w:rFonts w:ascii="한컴바탕" w:eastAsia="한컴바탕" w:hAnsi="한컴바탕" w:cs="한컴바탕"/>
          <w:color w:val="000000"/>
          <w:szCs w:val="20"/>
          <w:kern w:val="0"/>
        </w:rPr>
      </w:pPr>
    </w:p>
    <w:p>
      <w:pPr>
        <w:pStyle w:val="a3"/>
        <w:spacing w:line="312" w:lineRule="auto"/>
        <w:rPr>
          <w:rFonts w:ascii="Times New Roman" w:eastAsia="Times New Roman" w:hAnsi="Times New Roman"/>
          <w:sz w:val="26"/>
          <w:szCs w:val="26"/>
        </w:rPr>
      </w:pPr>
      <w:r>
        <w:rPr>
          <w:rFonts w:ascii="Times New Roman" w:eastAsia="Times New Roman" w:hAnsi="Times New Roman"/>
          <w:sz w:val="26"/>
          <w:szCs w:val="26"/>
        </w:rPr>
        <w:t xml:space="preserve"> The Wanju National Research Institute of Cultural Heritage (Director: Lee Kyu-hoon) of the National Research Institute of Cultural Heritage under the Korea Heritage Service, in collaboration with Gochang County (Governor: Sim Deok-seop), will host an international academic conference on the theme of "The Formation and Landscape Restoration of the Gochang Dolmen Site" at </w:t>
      </w:r>
      <w:r>
        <w:rPr>
          <w:lang w:eastAsia="ko-KR"/>
          <w:rFonts w:ascii="Times New Roman" w:eastAsia="Times New Roman" w:hAnsi="Times New Roman"/>
          <w:color w:val="000000"/>
          <w:sz w:val="26"/>
          <w:szCs w:val="26"/>
          <w:rtl w:val="off"/>
        </w:rPr>
        <w:t>09</w:t>
      </w:r>
      <w:r>
        <w:rPr>
          <w:rFonts w:ascii="Times New Roman" w:eastAsia="Times New Roman" w:hAnsi="Times New Roman"/>
          <w:sz w:val="26"/>
          <w:szCs w:val="26"/>
        </w:rPr>
        <w:t>:00 a.m. on September 3 at the Gochang Wellpark Hotel Convention Center.</w:t>
      </w:r>
    </w:p>
    <w:p>
      <w:pPr>
        <w:pStyle w:val="a3"/>
        <w:spacing w:line="312" w:lineRule="auto"/>
        <w:rPr>
          <w:rFonts w:ascii="Times New Roman" w:eastAsia="Times New Roman" w:hAnsi="Times New Roman" w:cs="Times New Roman"/>
          <w:sz w:val="26"/>
          <w:szCs w:val="26"/>
          <w:spacing w:val="-3"/>
        </w:rPr>
      </w:pPr>
    </w:p>
    <w:p>
      <w:pPr>
        <w:spacing w:after="0" w:line="312" w:lineRule="auto"/>
        <w:rPr>
          <w:rFonts w:ascii="Times New Roman" w:eastAsia="Times New Roman" w:hAnsi="Times New Roman"/>
          <w:sz w:val="26"/>
          <w:szCs w:val="26"/>
        </w:rPr>
      </w:pPr>
      <w:r>
        <w:rPr>
          <w:rFonts w:ascii="Times New Roman" w:eastAsia="Times New Roman" w:hAnsi="Times New Roman"/>
          <w:sz w:val="26"/>
          <w:szCs w:val="26"/>
        </w:rPr>
        <w:t xml:space="preserve"> This academic conference was organized to comprehensively examine the formation process and spatial characteristics of the Gochang Dolmen Site, a World Heritage site, and to discuss research findings and methodologies for restoring the landscape of that era with experts from Korea and abroad. In particular, the conference will review case studies of megalithic monuments from countries such as Japan, China, and the United Kingdom to discuss the global historical value of the Gochang Dolmen Site and directions for its preservation and utilization.</w:t>
      </w:r>
    </w:p>
    <w:p>
      <w:pPr>
        <w:spacing w:after="0" w:line="312" w:lineRule="auto"/>
        <w:rPr>
          <w:rFonts w:ascii="Times New Roman" w:eastAsia="Times New Roman" w:hAnsi="Times New Roman"/>
          <w:sz w:val="26"/>
          <w:szCs w:val="26"/>
        </w:rPr>
      </w:pPr>
    </w:p>
    <w:p>
      <w:pPr>
        <w:pStyle w:val="a3"/>
        <w:spacing w:line="312" w:lineRule="auto"/>
        <w:rPr>
          <w:rFonts w:ascii="Times New Roman" w:eastAsia="Times New Roman" w:hAnsi="Times New Roman"/>
          <w:sz w:val="26"/>
          <w:szCs w:val="26"/>
        </w:rPr>
      </w:pPr>
      <w:r>
        <w:rPr>
          <w:rFonts w:ascii="Times New Roman" w:eastAsia="Times New Roman" w:hAnsi="Times New Roman"/>
          <w:sz w:val="26"/>
          <w:szCs w:val="26"/>
        </w:rPr>
        <w:t xml:space="preserve"> The Gochang Dolmen Site, a UNESCO World Heritage Site, is a world-renowned site of megalithic monuments featuring a dense concentration of hundreds of dolmens, including various types such as table-type, go-board-type, and capstone-type dolmens. In recognition </w:t>
      </w:r>
      <w:r>
        <w:rPr>
          <w:rFonts w:ascii="Times New Roman" w:eastAsia="Times New Roman" w:hAnsi="Times New Roman"/>
          <w:sz w:val="26"/>
          <w:szCs w:val="26"/>
        </w:rPr>
        <w:t>of this value, it was inscribed on the UNESCO World Heritage List in 2000 alongside the Hwasun and Ganghwa Dolmen Sites, and has since been the subject of ongoing research and conservation efforts.</w:t>
      </w:r>
    </w:p>
    <w:p>
      <w:pPr>
        <w:pStyle w:val="a3"/>
        <w:spacing w:line="312" w:lineRule="auto"/>
        <w:rPr>
          <w:rFonts w:ascii="Times New Roman" w:eastAsia="Times New Roman" w:hAnsi="Times New Roman"/>
          <w:sz w:val="26"/>
          <w:szCs w:val="26"/>
          <w:shd w:val="clear" w:color="000000" w:fill="auto"/>
        </w:rPr>
      </w:pPr>
    </w:p>
    <w:p>
      <w:pPr>
        <w:pStyle w:val="a3"/>
        <w:spacing w:line="312" w:lineRule="auto"/>
        <w:rPr>
          <w:rFonts w:ascii="Times New Roman" w:eastAsia="Times New Roman" w:hAnsi="Times New Roman"/>
          <w:sz w:val="26"/>
          <w:szCs w:val="26"/>
        </w:rPr>
      </w:pPr>
      <w:r>
        <w:rPr>
          <w:rFonts w:ascii="Times New Roman" w:eastAsia="Times New Roman" w:hAnsi="Times New Roman"/>
          <w:sz w:val="26"/>
          <w:szCs w:val="26"/>
        </w:rPr>
        <w:t xml:space="preserve"> The academic conference will proceed in the following order: a keynote address, eight thematic presentations, and a general discussion. In the keynote address, Professor Ha Moon-sig of Yonsei University will shed light on the global historical significance of the Gochang dolmen site under the theme </w:t>
      </w:r>
      <w:r>
        <w:rPr>
          <w:rFonts w:ascii="Times New Roman" w:eastAsia="Times New Roman" w:hAnsi="Times New Roman"/>
          <w:b/>
          <w:sz w:val="26"/>
          <w:szCs w:val="26"/>
        </w:rPr>
        <w:t>‘Gochang Dolmens in the Context of Global Megalithic Cultures.’</w:t>
      </w:r>
    </w:p>
    <w:p>
      <w:pPr>
        <w:pStyle w:val="a3"/>
        <w:spacing w:line="312" w:lineRule="auto"/>
        <w:rPr>
          <w:rFonts w:ascii="Times New Roman" w:eastAsia="Times New Roman" w:hAnsi="Times New Roman"/>
          <w:sz w:val="26"/>
          <w:szCs w:val="26"/>
        </w:rPr>
      </w:pPr>
    </w:p>
    <w:p>
      <w:pPr>
        <w:rPr>
          <w:rFonts w:ascii="Times New Roman" w:eastAsia="Times New Roman" w:hAnsi="Times New Roman"/>
          <w:sz w:val="26"/>
          <w:szCs w:val="26"/>
        </w:rPr>
      </w:pPr>
      <w:r>
        <w:rPr>
          <w:rFonts w:ascii="Times New Roman" w:eastAsia="Times New Roman" w:hAnsi="Times New Roman"/>
          <w:sz w:val="26"/>
          <w:szCs w:val="26"/>
        </w:rPr>
        <w:t xml:space="preserve"> The following presentations are scheduled: </w:t>
      </w:r>
      <w:r>
        <w:rPr>
          <w:rFonts w:ascii="Times New Roman" w:eastAsia="Times New Roman" w:hAnsi="Times New Roman"/>
          <w:b/>
          <w:sz w:val="26"/>
          <w:szCs w:val="26"/>
          <w:shd w:val="clear" w:color="000000" w:fill="auto"/>
        </w:rPr>
        <w:t>▲</w:t>
      </w:r>
      <w:r>
        <w:rPr>
          <w:rFonts w:ascii="Times New Roman" w:eastAsia="Times New Roman" w:hAnsi="Times New Roman"/>
          <w:b/>
          <w:sz w:val="26"/>
          <w:szCs w:val="26"/>
        </w:rPr>
        <w:t>‘Reclassification of the Gochang Dolmen Site Clusters and Analysis of Their Location Characteristics’</w:t>
      </w:r>
      <w:r>
        <w:rPr>
          <w:rFonts w:ascii="Times New Roman" w:eastAsia="Times New Roman" w:hAnsi="Times New Roman"/>
          <w:sz w:val="26"/>
          <w:szCs w:val="26"/>
        </w:rPr>
        <w:t xml:space="preserve"> (Kang Seok-ju, Wanju National Research Institute of Cultural Heritage), </w:t>
      </w:r>
      <w:r>
        <w:rPr>
          <w:rFonts w:ascii="Times New Roman" w:eastAsia="Times New Roman" w:hAnsi="Times New Roman"/>
          <w:b/>
          <w:sz w:val="26"/>
          <w:szCs w:val="26"/>
        </w:rPr>
        <w:t>▲</w:t>
      </w:r>
      <w:r>
        <w:rPr>
          <w:rFonts w:ascii="Times New Roman" w:eastAsia="Times New Roman" w:hAnsi="Times New Roman"/>
          <w:b/>
          <w:bCs/>
          <w:sz w:val="26"/>
          <w:szCs w:val="26"/>
        </w:rPr>
        <w:t>‘Technological Choices and Procurement Strategies for Construction Stones at the Gochang Dolmen Site’</w:t>
      </w:r>
      <w:r>
        <w:rPr>
          <w:rFonts w:ascii="Times New Roman" w:eastAsia="Times New Roman" w:hAnsi="Times New Roman"/>
          <w:sz w:val="26"/>
          <w:szCs w:val="26"/>
        </w:rPr>
        <w:t xml:space="preserve">(Yun Ho-pil and Kim Gyu-joung, Sangju-Museum and Jeonbuk Cultural Property Research Institute), </w:t>
      </w:r>
      <w:r>
        <w:rPr>
          <w:rFonts w:ascii="Times New Roman" w:eastAsia="Times New Roman" w:hAnsi="Times New Roman"/>
          <w:b/>
          <w:sz w:val="26"/>
          <w:szCs w:val="26"/>
        </w:rPr>
        <w:t>▲‘Preliminary Survey for the Reconstruction of the Paleoenvironment in the Alluvial Plain Surrounding the Gochang Dolmen Sites’</w:t>
      </w:r>
      <w:r>
        <w:rPr>
          <w:rFonts w:ascii="Times New Roman" w:eastAsia="Times New Roman" w:hAnsi="Times New Roman"/>
          <w:sz w:val="26"/>
          <w:szCs w:val="26"/>
        </w:rPr>
        <w:t xml:space="preserve">(Ryu Choon-kil, Korea Institute of Geological Environment), </w:t>
      </w:r>
      <w:r>
        <w:rPr>
          <w:rFonts w:ascii="Times New Roman" w:eastAsia="Times New Roman" w:hAnsi="Times New Roman"/>
          <w:b/>
          <w:sz w:val="26"/>
          <w:szCs w:val="26"/>
        </w:rPr>
        <w:t>▲</w:t>
      </w:r>
      <w:r>
        <w:rPr>
          <w:rFonts w:ascii="Times New Roman" w:eastAsia="Times New Roman" w:hAnsi="Times New Roman"/>
          <w:b/>
          <w:bCs/>
          <w:sz w:val="26"/>
          <w:szCs w:val="26"/>
        </w:rPr>
        <w:t>‘Landscape Formation and Perception of the Gochang Dolmen Site from the Perspective of Megalithic Monuments’</w:t>
      </w:r>
      <w:r>
        <w:rPr>
          <w:rFonts w:ascii="Times New Roman" w:eastAsia="Times New Roman" w:hAnsi="Times New Roman"/>
          <w:sz w:val="26"/>
          <w:szCs w:val="26"/>
        </w:rPr>
        <w:t>(Kim Jong-il, Seoul National University). These presentations will examine the formation and landscape of the Gochang dolmen sites from multiple perspectives.</w:t>
      </w:r>
    </w:p>
    <w:p>
      <w:pPr>
        <w:pStyle w:val="a3"/>
        <w:spacing w:line="312" w:lineRule="auto"/>
        <w:rPr>
          <w:rFonts w:ascii="Times New Roman" w:eastAsia="Times New Roman" w:hAnsi="Times New Roman"/>
          <w:sz w:val="26"/>
          <w:szCs w:val="26"/>
        </w:rPr>
      </w:pPr>
    </w:p>
    <w:p>
      <w:pPr>
        <w:pStyle w:val="a3"/>
        <w:spacing w:line="312" w:lineRule="auto"/>
        <w:rPr>
          <w:rFonts w:ascii="Times New Roman" w:eastAsia="Times New Roman" w:hAnsi="Times New Roman"/>
          <w:sz w:val="26"/>
          <w:szCs w:val="26"/>
        </w:rPr>
      </w:pPr>
      <w:r>
        <w:rPr>
          <w:rFonts w:ascii="Times New Roman" w:eastAsia="Times New Roman" w:hAnsi="Times New Roman"/>
          <w:sz w:val="26"/>
          <w:szCs w:val="26"/>
        </w:rPr>
        <w:t xml:space="preserve"> In addition, </w:t>
      </w:r>
      <w:r>
        <w:rPr>
          <w:rFonts w:ascii="Times New Roman" w:eastAsia="Times New Roman" w:hAnsi="Times New Roman"/>
          <w:b/>
          <w:sz w:val="26"/>
          <w:szCs w:val="26"/>
        </w:rPr>
        <w:t>▲</w:t>
      </w:r>
      <w:r>
        <w:rPr>
          <w:rFonts w:ascii="Times New Roman" w:eastAsia="Times New Roman" w:hAnsi="Times New Roman"/>
          <w:b/>
          <w:bCs/>
          <w:sz w:val="26"/>
          <w:szCs w:val="26"/>
        </w:rPr>
        <w:t>‘</w:t>
      </w:r>
      <w:r>
        <w:rPr>
          <w:rFonts w:ascii="Times New Roman" w:eastAsia="Times New Roman" w:hAnsi="Times New Roman"/>
          <w:b/>
          <w:sz w:val="26"/>
          <w:szCs w:val="26"/>
        </w:rPr>
        <w:t>The Formation and Landscape of Japanese Dolmens’</w:t>
      </w:r>
      <w:r>
        <w:rPr>
          <w:rFonts w:ascii="Times New Roman" w:eastAsia="Times New Roman" w:hAnsi="Times New Roman"/>
          <w:sz w:val="26"/>
          <w:szCs w:val="26"/>
        </w:rPr>
        <w:t xml:space="preserve">(Tatsuya Hiragori, Shimane University), </w:t>
      </w:r>
      <w:r>
        <w:rPr>
          <w:rFonts w:ascii="Times New Roman" w:eastAsia="Times New Roman" w:hAnsi="Times New Roman"/>
          <w:b/>
          <w:sz w:val="26"/>
          <w:szCs w:val="26"/>
        </w:rPr>
        <w:t>▲</w:t>
      </w:r>
      <w:r>
        <w:rPr>
          <w:rFonts w:ascii="Times New Roman" w:eastAsia="Times New Roman" w:hAnsi="Times New Roman"/>
          <w:b/>
          <w:bCs/>
          <w:sz w:val="26"/>
          <w:szCs w:val="26"/>
        </w:rPr>
        <w:t>‘</w:t>
      </w:r>
      <w:r>
        <w:rPr>
          <w:rFonts w:ascii="Times New Roman" w:eastAsia="Times New Roman" w:hAnsi="Times New Roman"/>
          <w:b/>
          <w:sz w:val="26"/>
          <w:szCs w:val="26"/>
        </w:rPr>
        <w:t>The Cultural Lineage of dolmen on the Liaodong Peninsula, China’</w:t>
      </w:r>
      <w:r>
        <w:rPr>
          <w:rFonts w:ascii="Times New Roman" w:eastAsia="Times New Roman" w:hAnsi="Times New Roman"/>
          <w:sz w:val="26"/>
          <w:szCs w:val="26"/>
        </w:rPr>
        <w:t xml:space="preserve">(Hua Weibing, Liaoning University), </w:t>
      </w:r>
      <w:r>
        <w:rPr>
          <w:rFonts w:ascii="Times New Roman" w:eastAsia="Times New Roman" w:hAnsi="Times New Roman"/>
          <w:b/>
          <w:sz w:val="26"/>
          <w:szCs w:val="26"/>
        </w:rPr>
        <w:t>▲</w:t>
      </w:r>
      <w:r>
        <w:rPr>
          <w:rFonts w:ascii="Times New Roman" w:eastAsia="Times New Roman" w:hAnsi="Times New Roman"/>
          <w:b/>
          <w:bCs/>
          <w:sz w:val="26"/>
          <w:szCs w:val="26"/>
        </w:rPr>
        <w:t>‘</w:t>
      </w:r>
      <w:r>
        <w:rPr>
          <w:rFonts w:ascii="Times New Roman" w:eastAsia="Times New Roman" w:hAnsi="Times New Roman"/>
          <w:b/>
          <w:sz w:val="26"/>
          <w:szCs w:val="26"/>
        </w:rPr>
        <w:t>Restoration, rescue and research: managing megalithic monuments in Britain’</w:t>
      </w:r>
      <w:r>
        <w:rPr>
          <w:rFonts w:ascii="Times New Roman" w:eastAsia="Times New Roman" w:hAnsi="Times New Roman"/>
          <w:sz w:val="26"/>
          <w:szCs w:val="26"/>
        </w:rPr>
        <w:t>(Susan Greaney, University of Exeter), and other presentations will examine the formation of megalithic monuments and achievements in landscape restoration from around the world.</w:t>
      </w:r>
    </w:p>
    <w:p>
      <w:pPr>
        <w:pStyle w:val="a3"/>
        <w:spacing w:line="312" w:lineRule="auto"/>
        <w:rPr>
          <w:rFonts w:ascii="Times New Roman" w:eastAsia="Times New Roman" w:hAnsi="Times New Roman"/>
          <w:sz w:val="26"/>
          <w:szCs w:val="26"/>
        </w:rPr>
      </w:pPr>
    </w:p>
    <w:p>
      <w:pPr>
        <w:pStyle w:val="a3"/>
        <w:spacing w:line="312" w:lineRule="auto"/>
        <w:rPr>
          <w:rFonts w:ascii="Times New Roman" w:eastAsia="Times New Roman" w:hAnsi="Times New Roman"/>
          <w:sz w:val="26"/>
          <w:szCs w:val="26"/>
        </w:rPr>
      </w:pPr>
      <w:r>
        <w:rPr>
          <w:rFonts w:ascii="Times New Roman" w:eastAsia="Times New Roman" w:hAnsi="Times New Roman"/>
          <w:sz w:val="26"/>
          <w:szCs w:val="26"/>
        </w:rPr>
        <w:t xml:space="preserve"> Following the presentation, Director Lee Young-moon of the Research Center of Dolmens in Northeast Asia will moderate a panel discussion featuring experts including Son Joon-ho(Korea University), Lee Myeong-seong(National Research Institute of Cultural Heritage), Kang Dong-seok(Sungkyunkwan University), Kim Jin-hwan(National Cultural Heritage Insutitute), Cho Jin-sun(Chonnam National University), and Ko Il-hong(Seoul National University Asia Center).</w:t>
      </w:r>
    </w:p>
    <w:p>
      <w:pPr>
        <w:pStyle w:val="a3"/>
        <w:spacing w:line="312" w:lineRule="auto"/>
        <w:rPr>
          <w:rFonts w:ascii="Times New Roman" w:eastAsia="Times New Roman" w:hAnsi="Times New Roman"/>
          <w:sz w:val="26"/>
          <w:szCs w:val="26"/>
        </w:rPr>
      </w:pPr>
    </w:p>
    <w:p>
      <w:pPr>
        <w:pStyle w:val="a3"/>
        <w:spacing w:line="312" w:lineRule="auto"/>
        <w:rPr>
          <w:rFonts w:ascii="Times New Roman" w:eastAsia="Times New Roman" w:hAnsi="Times New Roman"/>
          <w:sz w:val="26"/>
          <w:szCs w:val="26"/>
        </w:rPr>
      </w:pPr>
      <w:r>
        <w:rPr>
          <w:rFonts w:ascii="Times New Roman" w:eastAsia="Times New Roman" w:hAnsi="Times New Roman"/>
          <w:sz w:val="26"/>
          <w:szCs w:val="26"/>
        </w:rPr>
        <w:t xml:space="preserve"> Following the presentations, Director Lee Young-moon of the Research Center of Dolmens </w:t>
      </w:r>
      <w:r>
        <w:rPr>
          <w:rFonts w:ascii="Times New Roman" w:eastAsia="Times New Roman" w:hAnsi="Times New Roman"/>
          <w:sz w:val="26"/>
          <w:szCs w:val="26"/>
        </w:rPr>
        <w:t>in Northeast Asia will moderate a panel discussion featuring experts including Son Joon-ho (Korea University), Lee Myeong-seong (National Research Institute of Cultural Heritage), Kang Dong-seok (Sungkyunkwan University), Kim Jin-hwan (National Cultural Heritage Institute), Cho Jin-sun (Chonnam National University), and Ko Il-hong (Seoul National University Asia Center).</w:t>
      </w:r>
    </w:p>
    <w:p>
      <w:pPr>
        <w:pStyle w:val="a3"/>
        <w:spacing w:line="312" w:lineRule="auto"/>
        <w:rPr>
          <w:rFonts w:ascii="Times New Roman" w:eastAsia="Times New Roman" w:hAnsi="Times New Roman"/>
          <w:sz w:val="26"/>
          <w:szCs w:val="26"/>
        </w:rPr>
      </w:pPr>
    </w:p>
    <w:p>
      <w:pPr>
        <w:pStyle w:val="a3"/>
        <w:spacing w:line="312" w:lineRule="auto"/>
        <w:rPr>
          <w:rFonts w:ascii="Times New Roman" w:eastAsia="Times New Roman" w:hAnsi="Times New Roman"/>
          <w:sz w:val="26"/>
          <w:szCs w:val="26"/>
        </w:rPr>
      </w:pPr>
      <w:r>
        <w:rPr>
          <w:rFonts w:ascii="Times New Roman" w:eastAsia="Times New Roman" w:hAnsi="Times New Roman"/>
          <w:sz w:val="26"/>
          <w:szCs w:val="26"/>
        </w:rPr>
        <w:t xml:space="preserve"> Anyone can attend this academic conference by scanning the QR code on the promotional materials to register in advance, or by registering on-site on the day of the event. For more information, please call. (☎063-290-9324)</w:t>
      </w:r>
    </w:p>
    <w:p>
      <w:pPr>
        <w:pStyle w:val="a3"/>
        <w:spacing w:line="312" w:lineRule="auto"/>
        <w:rPr>
          <w:rFonts w:ascii="Times New Roman" w:eastAsia="Times New Roman" w:hAnsi="Times New Roman"/>
          <w:sz w:val="26"/>
          <w:szCs w:val="26"/>
        </w:rPr>
      </w:pPr>
    </w:p>
    <w:p>
      <w:r>
        <w:rPr>
          <w:rFonts w:ascii="Times New Roman" w:eastAsia="Times New Roman" w:hAnsi="Times New Roman"/>
          <w:sz w:val="26"/>
          <w:szCs w:val="26"/>
        </w:rPr>
        <w:t xml:space="preserve"> The Wanju National Research Institute of Cultural Heritage, part of the National Research Institute of Cultural Heritage, plans to use this international academic conference as an opportunity to further promote academic exchange among researchers of megalithic monuments both in Korea and abroad, and to share the results of its research and investigations on the Gochang Dolmen Site with the international community.</w:t>
      </w:r>
    </w:p>
    <w:p>
      <w:pPr>
        <w:pStyle w:val="a3"/>
        <w:spacing w:line="312" w:lineRule="auto"/>
        <w:rPr>
          <w:rFonts w:ascii="Times New Roman" w:eastAsia="Times New Roman" w:hAnsi="Times New Roman"/>
          <w:sz w:val="26"/>
          <w:szCs w:val="26"/>
        </w:rPr>
      </w:pPr>
    </w:p>
    <w:p>
      <w:pPr>
        <w:pStyle w:val="a3"/>
        <w:spacing w:line="312" w:lineRule="auto"/>
        <w:rPr>
          <w:rFonts w:ascii="Times New Roman" w:eastAsia="휴먼명조" w:hAnsi="Times New Roman" w:cs="Times New Roman"/>
          <w:sz w:val="26"/>
          <w:szCs w:val="26"/>
          <w:spacing w:val="-3"/>
        </w:rPr>
      </w:pPr>
    </w:p>
    <w:p>
      <w:pPr>
        <w:pStyle w:val="a3"/>
        <w:spacing w:line="276" w:lineRule="auto"/>
        <w:rPr>
          <w:rFonts w:ascii="Times New Roman" w:eastAsia="휴먼명조" w:hAnsi="Times New Roman" w:cs="Times New Roman"/>
          <w:color w:val="auto"/>
          <w:sz w:val="26"/>
          <w:szCs w:val="26"/>
        </w:rPr>
      </w:pPr>
      <w:r>
        <w:rPr>
          <w:rFonts w:ascii="Times New Roman" w:eastAsia="휴먼명조" w:hAnsi="Times New Roman" w:cs="Times New Roman"/>
          <w:color w:val="auto"/>
          <w:sz w:val="26"/>
          <w:szCs w:val="26"/>
        </w:rPr>
        <w:t>Attachment  Promotional materials(poster).  End.</w:t>
      </w:r>
    </w:p>
    <w:sectPr>
      <w:pgSz w:w="11906" w:h="16838"/>
      <w:pgMar w:top="1020" w:right="1134" w:bottom="1587" w:left="1134" w:header="1020" w:footer="567" w:gutter="0"/>
      <w:cols w:space="720"/>
      <w:docGrid w:linePitch="360"/>
      <w:noEndnote/>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함초롬바탕">
    <w:panose1 w:val="02030604000101010101"/>
    <w:family w:val="roman"/>
    <w:charset w:val="81"/>
    <w:notTrueType w:val="false"/>
    <w:sig w:usb0="F70006FF" w:usb1="19DFFFFF" w:usb2="001BFDD7" w:usb3="00000001" w:csb0="001F01FF" w:csb1="00000001"/>
  </w:font>
  <w:font w:name="굴림">
    <w:panose1 w:val="020B0600000101010101"/>
    <w:family w:val="modern"/>
    <w:charset w:val="81"/>
    <w:notTrueType w:val="false"/>
    <w:sig w:usb0="B00002AF" w:usb1="69D77CFB" w:usb2="00000030" w:usb3="00000001" w:csb0="4008009F" w:csb1="DFD70000"/>
  </w:font>
  <w:font w:name="돋움">
    <w:panose1 w:val="020B0600000101010101"/>
    <w:family w:val="modern"/>
    <w:charset w:val="81"/>
    <w:notTrueType w:val="false"/>
    <w:sig w:usb0="B00002AF" w:usb1="69D77CFB" w:usb2="00000030" w:usb3="00000001" w:csb0="4008009F" w:csb1="DFD70000"/>
  </w:font>
  <w:font w:name="HY견고딕">
    <w:panose1 w:val="02030600000101010101"/>
    <w:family w:val="roman"/>
    <w:charset w:val="81"/>
    <w:notTrueType w:val="false"/>
    <w:sig w:usb0="800002A7" w:usb1="39D77CF9" w:usb2="00000010" w:usb3="00000001" w:csb0="00080000" w:csb1="00000001"/>
  </w:font>
  <w:font w:name="Times New Roman">
    <w:panose1 w:val="02020603050405020304"/>
    <w:family w:val="roman"/>
    <w:charset w:val="00"/>
    <w:notTrueType w:val="false"/>
    <w:sig w:usb0="E0002EFF" w:usb1="C000785B" w:usb2="00000009" w:usb3="00000001" w:csb0="400001FF" w:csb1="FFFF0000"/>
  </w:font>
  <w:font w:name="휴먼명조">
    <w:panose1 w:val="02010504000101010101"/>
    <w:family w:val="auto"/>
    <w:charset w:val="81"/>
    <w:notTrueType w:val="false"/>
    <w:sig w:usb0="800002A7" w:usb1="11D77CFB" w:usb2="00000010" w:usb3="00000001" w:csb0="00080000" w:csb1="00000001"/>
  </w:font>
  <w:font w:name="한컴바탕">
    <w:panose1 w:val="02030600000101010101"/>
    <w:family w:val="roman"/>
    <w:charset w:val="81"/>
    <w:notTrueType w:val="false"/>
    <w:sig w:usb0="FFFFFFFF" w:usb1="FFFFFFFF" w:usb2="00FFFFFF" w:usb3="00000001" w:csb0="863F01FF" w:csb1="0000FFFF"/>
  </w:font>
  <w:font w:name="맑은 고딕">
    <w:panose1 w:val="020B0503020000020004"/>
    <w:family w:val="modern"/>
    <w:charset w:val="81"/>
    <w:notTrueType w:val="false"/>
    <w:sig w:usb0="9000002F" w:usb1="29D77CFB" w:usb2="00000012" w:usb3="00000001" w:csb0="00080001" w:csb1="00000001"/>
  </w:font>
  <w:font w:name="Arial">
    <w:panose1 w:val="020B0604020202020204"/>
    <w:family w:val="swiss"/>
    <w:charset w:val="00"/>
    <w:notTrueType w:val="false"/>
    <w:sig w:usb0="E0002EFF" w:usb1="C000785B" w:usb2="00000009" w:usb3="00000001" w:csb0="400001FF" w:csb1="FFFF0000"/>
  </w:font>
  <w:font w:name="ÇÑÄÄ¹ÙÅÁ">
    <w:family w:val="auto"/>
    <w:altName w:val="바탕"/>
    <w:charset w:val="00"/>
    <w:notTrueType w:val="fals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맑은 고딕" w:eastAsia="맑은 고딕" w:hAnsi="맑은 고딕"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0" w:qFormat="1"/>
    <w:lsdException w:name="Title" w:semiHidden="0" w:uiPriority="82" w:unhideWhenUsed="0" w:qFormat="1"/>
    <w:lsdException w:name="Default Paragraph Font" w:uiPriority="1"/>
    <w:lsdException w:name="Subtitle" w:semiHidden="0" w:uiPriority="83" w:unhideWhenUsed="0" w:qFormat="1"/>
    <w:lsdException w:name="Strong" w:semiHidden="0" w:uiPriority="304" w:unhideWhenUsed="0" w:qFormat="1"/>
    <w:lsdException w:name="Emphasis" w:semiHidden="0" w:uiPriority="296"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0" w:unhideWhenUsed="0"/>
    <w:lsdException w:name="Light List" w:semiHidden="0" w:uiPriority="0" w:unhideWhenUsed="0"/>
    <w:lsdException w:name="Light Grid" w:semiHidden="0" w:uiPriority="0" w:unhideWhenUsed="0"/>
    <w:lsdException w:name="Medium Shading 1" w:semiHidden="0" w:uiPriority="0" w:unhideWhenUsed="0"/>
    <w:lsdException w:name="Medium Shading 2" w:semiHidden="0" w:uiPriority="0" w:unhideWhenUsed="0"/>
    <w:lsdException w:name="Medium List 1" w:semiHidden="0" w:uiPriority="0" w:unhideWhenUsed="0"/>
    <w:lsdException w:name="Medium List 2" w:semiHidden="0" w:uiPriority="0" w:unhideWhenUsed="0"/>
    <w:lsdException w:name="Medium Grid 1" w:semiHidden="0" w:uiPriority="0" w:unhideWhenUsed="0"/>
    <w:lsdException w:name="Medium Grid 2" w:semiHidden="0" w:uiPriority="0" w:unhideWhenUsed="0"/>
    <w:lsdException w:name="Medium Grid 3" w:semiHidden="0" w:uiPriority="0" w:unhideWhenUsed="0"/>
    <w:lsdException w:name="Dark List" w:semiHidden="0" w:uiPriority="0" w:unhideWhenUsed="0"/>
    <w:lsdException w:name="Colorful Shading" w:semiHidden="0" w:uiPriority="0" w:unhideWhenUsed="0"/>
    <w:lsdException w:name="Colorful List" w:semiHidden="0" w:uiPriority="0" w:unhideWhenUsed="0"/>
    <w:lsdException w:name="Colorful Grid" w:semiHidden="0" w:uiPriority="0" w:unhideWhenUsed="0"/>
    <w:lsdException w:name="Light Shading Accent 1" w:semiHidden="0" w:uiPriority="0" w:unhideWhenUsed="0"/>
    <w:lsdException w:name="Light List Accent 1" w:semiHidden="0" w:uiPriority="0" w:unhideWhenUsed="0"/>
    <w:lsdException w:name="Light Grid Accent 1" w:semiHidden="0" w:uiPriority="0" w:unhideWhenUsed="0"/>
    <w:lsdException w:name="Medium Shading 1 Accent 1" w:semiHidden="0" w:uiPriority="0" w:unhideWhenUsed="0"/>
    <w:lsdException w:name="Medium Shading 2 Accent 1" w:semiHidden="0" w:uiPriority="0" w:unhideWhenUsed="0"/>
    <w:lsdException w:name="Medium List 1 Accent 1" w:semiHidden="0" w:uiPriority="0"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semiHidden="0" w:uiPriority="0" w:unhideWhenUsed="0"/>
    <w:lsdException w:name="Medium Grid 1 Accent 1" w:semiHidden="0" w:uiPriority="0" w:unhideWhenUsed="0"/>
    <w:lsdException w:name="Medium Grid 2 Accent 1" w:semiHidden="0" w:uiPriority="0" w:unhideWhenUsed="0"/>
    <w:lsdException w:name="Medium Grid 3 Accent 1" w:semiHidden="0" w:uiPriority="0" w:unhideWhenUsed="0"/>
    <w:lsdException w:name="Dark List Accent 1" w:semiHidden="0" w:uiPriority="0" w:unhideWhenUsed="0"/>
    <w:lsdException w:name="Colorful Shading Accent 1" w:semiHidden="0" w:uiPriority="0" w:unhideWhenUsed="0"/>
    <w:lsdException w:name="Colorful List Accent 1" w:semiHidden="0" w:uiPriority="0" w:unhideWhenUsed="0"/>
    <w:lsdException w:name="Colorful Grid Accent 1" w:semiHidden="0" w:uiPriority="0" w:unhideWhenUsed="0"/>
    <w:lsdException w:name="Light Shading Accent 2" w:semiHidden="0" w:uiPriority="0" w:unhideWhenUsed="0"/>
    <w:lsdException w:name="Light List Accent 2" w:semiHidden="0" w:uiPriority="0" w:unhideWhenUsed="0"/>
    <w:lsdException w:name="Light Grid Accent 2" w:semiHidden="0" w:uiPriority="0" w:unhideWhenUsed="0"/>
    <w:lsdException w:name="Medium Shading 1 Accent 2" w:semiHidden="0" w:uiPriority="0" w:unhideWhenUsed="0"/>
    <w:lsdException w:name="Medium Shading 2 Accent 2" w:semiHidden="0" w:uiPriority="0" w:unhideWhenUsed="0"/>
    <w:lsdException w:name="Medium List 1 Accent 2" w:semiHidden="0" w:uiPriority="0" w:unhideWhenUsed="0"/>
    <w:lsdException w:name="Medium List 2 Accent 2" w:semiHidden="0" w:uiPriority="0" w:unhideWhenUsed="0"/>
    <w:lsdException w:name="Medium Grid 1 Accent 2" w:semiHidden="0" w:uiPriority="0" w:unhideWhenUsed="0"/>
    <w:lsdException w:name="Medium Grid 2 Accent 2" w:semiHidden="0" w:uiPriority="0" w:unhideWhenUsed="0"/>
    <w:lsdException w:name="Medium Grid 3 Accent 2" w:semiHidden="0" w:uiPriority="0" w:unhideWhenUsed="0"/>
    <w:lsdException w:name="Dark List Accent 2" w:semiHidden="0" w:uiPriority="0" w:unhideWhenUsed="0"/>
    <w:lsdException w:name="Colorful Shading Accent 2" w:semiHidden="0" w:uiPriority="0" w:unhideWhenUsed="0"/>
    <w:lsdException w:name="Colorful List Accent 2" w:semiHidden="0" w:uiPriority="0" w:unhideWhenUsed="0"/>
    <w:lsdException w:name="Colorful Grid Accent 2" w:semiHidden="0" w:uiPriority="0" w:unhideWhenUsed="0"/>
    <w:lsdException w:name="Light Shading Accent 3" w:semiHidden="0" w:uiPriority="0" w:unhideWhenUsed="0"/>
    <w:lsdException w:name="Light List Accent 3" w:semiHidden="0" w:uiPriority="0" w:unhideWhenUsed="0"/>
    <w:lsdException w:name="Light Grid Accent 3" w:semiHidden="0" w:uiPriority="0" w:unhideWhenUsed="0"/>
    <w:lsdException w:name="Medium Shading 1 Accent 3" w:semiHidden="0" w:uiPriority="0" w:unhideWhenUsed="0"/>
    <w:lsdException w:name="Medium Shading 2 Accent 3" w:semiHidden="0" w:uiPriority="0" w:unhideWhenUsed="0"/>
    <w:lsdException w:name="Medium List 1 Accent 3" w:semiHidden="0" w:uiPriority="0" w:unhideWhenUsed="0"/>
    <w:lsdException w:name="Medium List 2 Accent 3" w:semiHidden="0" w:uiPriority="0" w:unhideWhenUsed="0"/>
    <w:lsdException w:name="Medium Grid 1 Accent 3" w:semiHidden="0" w:uiPriority="0" w:unhideWhenUsed="0"/>
    <w:lsdException w:name="Medium Grid 2 Accent 3" w:semiHidden="0" w:uiPriority="0" w:unhideWhenUsed="0"/>
    <w:lsdException w:name="Medium Grid 3 Accent 3" w:semiHidden="0" w:uiPriority="0" w:unhideWhenUsed="0"/>
    <w:lsdException w:name="Dark List Accent 3" w:semiHidden="0" w:uiPriority="0" w:unhideWhenUsed="0"/>
    <w:lsdException w:name="Colorful Shading Accent 3" w:semiHidden="0" w:uiPriority="0" w:unhideWhenUsed="0"/>
    <w:lsdException w:name="Colorful List Accent 3" w:semiHidden="0" w:uiPriority="0" w:unhideWhenUsed="0"/>
    <w:lsdException w:name="Colorful Grid Accent 3" w:semiHidden="0" w:uiPriority="0" w:unhideWhenUsed="0"/>
    <w:lsdException w:name="Light Shading Accent 4" w:semiHidden="0" w:uiPriority="0" w:unhideWhenUsed="0"/>
    <w:lsdException w:name="Light List Accent 4" w:semiHidden="0" w:uiPriority="0" w:unhideWhenUsed="0"/>
    <w:lsdException w:name="Light Grid Accent 4" w:semiHidden="0" w:uiPriority="0" w:unhideWhenUsed="0"/>
    <w:lsdException w:name="Medium Shading 1 Accent 4" w:semiHidden="0" w:uiPriority="0" w:unhideWhenUsed="0"/>
    <w:lsdException w:name="Medium Shading 2 Accent 4" w:semiHidden="0" w:uiPriority="0" w:unhideWhenUsed="0"/>
    <w:lsdException w:name="Medium List 1 Accent 4" w:semiHidden="0" w:uiPriority="0" w:unhideWhenUsed="0"/>
    <w:lsdException w:name="Medium List 2 Accent 4" w:semiHidden="0" w:uiPriority="0" w:unhideWhenUsed="0"/>
    <w:lsdException w:name="Medium Grid 1 Accent 4" w:semiHidden="0" w:uiPriority="0" w:unhideWhenUsed="0"/>
    <w:lsdException w:name="Medium Grid 2 Accent 4" w:semiHidden="0" w:uiPriority="0" w:unhideWhenUsed="0"/>
    <w:lsdException w:name="Medium Grid 3 Accent 4" w:semiHidden="0" w:uiPriority="0" w:unhideWhenUsed="0"/>
    <w:lsdException w:name="Dark List Accent 4" w:semiHidden="0" w:uiPriority="0" w:unhideWhenUsed="0"/>
    <w:lsdException w:name="Colorful Shading Accent 4" w:semiHidden="0" w:uiPriority="0" w:unhideWhenUsed="0"/>
    <w:lsdException w:name="Colorful List Accent 4" w:semiHidden="0" w:uiPriority="0" w:unhideWhenUsed="0"/>
    <w:lsdException w:name="Colorful Grid Accent 4" w:semiHidden="0" w:uiPriority="0" w:unhideWhenUsed="0"/>
    <w:lsdException w:name="Light Shading Accent 5" w:semiHidden="0" w:uiPriority="0" w:unhideWhenUsed="0"/>
    <w:lsdException w:name="Light List Accent 5" w:semiHidden="0" w:uiPriority="0" w:unhideWhenUsed="0"/>
    <w:lsdException w:name="Light Grid Accent 5" w:semiHidden="0" w:uiPriority="0" w:unhideWhenUsed="0"/>
    <w:lsdException w:name="Medium Shading 1 Accent 5" w:semiHidden="0" w:uiPriority="0" w:unhideWhenUsed="0"/>
    <w:lsdException w:name="Medium Shading 2 Accent 5" w:semiHidden="0" w:uiPriority="0" w:unhideWhenUsed="0"/>
    <w:lsdException w:name="Medium List 1 Accent 5" w:semiHidden="0" w:uiPriority="0" w:unhideWhenUsed="0"/>
    <w:lsdException w:name="Medium List 2 Accent 5" w:semiHidden="0" w:uiPriority="0" w:unhideWhenUsed="0"/>
    <w:lsdException w:name="Medium Grid 1 Accent 5" w:semiHidden="0" w:uiPriority="0" w:unhideWhenUsed="0"/>
    <w:lsdException w:name="Medium Grid 2 Accent 5" w:semiHidden="0" w:uiPriority="0" w:unhideWhenUsed="0"/>
    <w:lsdException w:name="Medium Grid 3 Accent 5" w:semiHidden="0" w:uiPriority="0" w:unhideWhenUsed="0"/>
    <w:lsdException w:name="Dark List Accent 5" w:semiHidden="0" w:uiPriority="0" w:unhideWhenUsed="0"/>
    <w:lsdException w:name="Colorful Shading Accent 5" w:semiHidden="0" w:uiPriority="0" w:unhideWhenUsed="0"/>
    <w:lsdException w:name="Colorful List Accent 5" w:semiHidden="0" w:uiPriority="0" w:unhideWhenUsed="0"/>
    <w:lsdException w:name="Colorful Grid Accent 5" w:semiHidden="0" w:uiPriority="0" w:unhideWhenUsed="0"/>
    <w:lsdException w:name="Light Shading Accent 6" w:semiHidden="0" w:uiPriority="0" w:unhideWhenUsed="0"/>
    <w:lsdException w:name="Light List Accent 6" w:semiHidden="0" w:uiPriority="0" w:unhideWhenUsed="0"/>
    <w:lsdException w:name="Light Grid Accent 6" w:semiHidden="0" w:uiPriority="0" w:unhideWhenUsed="0"/>
    <w:lsdException w:name="Medium Shading 1 Accent 6" w:semiHidden="0" w:uiPriority="0" w:unhideWhenUsed="0"/>
    <w:lsdException w:name="Medium Shading 2 Accent 6" w:semiHidden="0" w:uiPriority="0" w:unhideWhenUsed="0"/>
    <w:lsdException w:name="Medium List 1 Accent 6" w:semiHidden="0" w:uiPriority="0" w:unhideWhenUsed="0"/>
    <w:lsdException w:name="Medium List 2 Accent 6" w:semiHidden="0" w:uiPriority="0" w:unhideWhenUsed="0"/>
    <w:lsdException w:name="Medium Grid 1 Accent 6" w:semiHidden="0" w:uiPriority="0" w:unhideWhenUsed="0"/>
    <w:lsdException w:name="Medium Grid 2 Accent 6" w:semiHidden="0" w:uiPriority="0" w:unhideWhenUsed="0"/>
    <w:lsdException w:name="Medium Grid 3 Accent 6" w:semiHidden="0" w:uiPriority="0" w:unhideWhenUsed="0"/>
    <w:lsdException w:name="Dark List Accent 6" w:semiHidden="0" w:uiPriority="0" w:unhideWhenUsed="0"/>
    <w:lsdException w:name="Colorful Shading Accent 6" w:semiHidden="0" w:uiPriority="0" w:unhideWhenUsed="0"/>
    <w:lsdException w:name="Colorful List Accent 6" w:semiHidden="0" w:uiPriority="0" w:unhideWhenUsed="0"/>
    <w:lsdException w:name="Colorful Grid Accent 6" w:semiHidden="0" w:uiPriority="0" w:unhideWhenUsed="0"/>
    <w:lsdException w:name="Subtle Emphasis" w:semiHidden="0" w:uiPriority="133" w:unhideWhenUsed="0" w:qFormat="1"/>
    <w:lsdException w:name="Intense Emphasis" w:semiHidden="0" w:uiPriority="297"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0"/>
    <w:lsdException w:name="TOC Heading" w:uiPriority="0" w:qFormat="1"/>
  </w:latentStyles>
  <w:style w:type="paragraph" w:default="1" w:styleId="a">
    <w:name w:val="Normal"/>
    <w:qFormat/>
    <w:pPr>
      <w:autoSpaceDE w:val="off"/>
      <w:autoSpaceDN w:val="off"/>
      <w:widowControl w:val="off"/>
      <w:wordWrap w:val="off"/>
      <w:jc w:val="both"/>
      <w:spacing w:after="200" w:line="276" w:lineRule="auto"/>
    </w:pPr>
    <w:rPr>
      <w:rFonts w:cs="Times New Roman"/>
      <w:szCs w:val="22"/>
      <w:kern w:val="2"/>
    </w:rPr>
  </w:style>
  <w:style w:type="character" w:default="1" w:styleId="a0">
    <w:name w:val="Default Paragraph Font"/>
    <w:uiPriority w:val="1"/>
    <w:semiHidden/>
    <w:unhideWhenUsed/>
  </w:style>
  <w:style w:type="table" w:customStyle="1" w:styleId="a1">
    <w:name w:val="Normal Table"/>
    <w:uiPriority w:val="99"/>
    <w:qFormat/>
    <w:semiHidden/>
    <w:unhideWhenUsed/>
    <w:tblPr>
      <w:tblInd w:w="0" w:type="dxa"/>
      <w:tblCellMar>
        <w:top w:w="0" w:type="dxa"/>
        <w:left w:w="108" w:type="dxa"/>
        <w:bottom w:w="0" w:type="dxa"/>
        <w:right w:w="108" w:type="dxa"/>
      </w:tblCellMar>
    </w:tblPr>
  </w:style>
  <w:style w:type="numbering" w:customStyle="1" w:styleId="a2">
    <w:name w:val="No List"/>
    <w:uiPriority w:val="99"/>
    <w:semiHidden/>
    <w:unhideWhenUsed/>
  </w:style>
  <w:style w:type="paragraph" w:customStyle="1" w:styleId="a3">
    <w:name w:val="바탕글"/>
    <w:pPr>
      <w:autoSpaceDE w:val="off"/>
      <w:autoSpaceDN w:val="off"/>
      <w:widowControl w:val="off"/>
      <w:wordWrap w:val="off"/>
      <w:jc w:val="both"/>
      <w:spacing w:line="384" w:lineRule="auto"/>
      <w:textAlignment w:val="baseline"/>
    </w:pPr>
    <w:rPr>
      <w:rFonts w:ascii="ÇÑÄÄ¹ÙÅÁ" w:hAnsi="ÇÑÄÄ¹ÙÅÁ" w:cs="ÇÑÄÄ¹ÙÅÁ"/>
      <w:color w:val="000000"/>
    </w:rPr>
  </w:style>
  <w:style w:type="paragraph" w:customStyle="1" w:styleId="1">
    <w:name w:val="풍선 도움말 텍스트1"/>
    <w:uiPriority w:val="99"/>
    <w:basedOn w:val="a"/>
    <w:link w:val="Char"/>
    <w:semiHidden/>
    <w:unhideWhenUsed/>
    <w:pPr>
      <w:spacing w:after="0" w:line="240" w:lineRule="auto"/>
    </w:pPr>
    <w:rPr>
      <w:sz w:val="18"/>
      <w:szCs w:val="18"/>
    </w:rPr>
  </w:style>
  <w:style w:type="character" w:customStyle="1" w:styleId="Char">
    <w:name w:val="풍선 도움말 텍스트 Char"/>
    <w:uiPriority w:val="99"/>
    <w:basedOn w:val="a0"/>
    <w:link w:val="1"/>
    <w:semiHidden/>
    <w:rPr>
      <w:rFonts w:ascii="맑은 고딕" w:eastAsia="맑은 고딕" w:hAnsi="맑은 고딕" w:cs="Times New Roman"/>
      <w:sz w:val="18"/>
      <w:szCs w:val="18"/>
    </w:rPr>
  </w:style>
  <w:style w:type="paragraph" w:customStyle="1" w:styleId="a4">
    <w:name w:val="Balloon Text"/>
    <w:uiPriority w:val="99"/>
    <w:basedOn w:val="a"/>
    <w:link w:val="Char1"/>
    <w:semiHidden/>
    <w:unhideWhenUsed/>
    <w:pPr>
      <w:spacing w:after="0" w:line="240" w:lineRule="auto"/>
    </w:pPr>
    <w:rPr>
      <w:sz w:val="18"/>
      <w:szCs w:val="18"/>
    </w:rPr>
  </w:style>
  <w:style w:type="character" w:customStyle="1" w:styleId="Char1">
    <w:name w:val="풍선 도움말 텍스트 Char1"/>
    <w:uiPriority w:val="99"/>
    <w:basedOn w:val="a0"/>
    <w:link w:val="a4"/>
    <w:semiHidden/>
    <w:rPr>
      <w:rFonts w:ascii="맑은 고딕" w:eastAsia="맑은 고딕" w:hAnsi="맑은 고딕" w:cs="Times New Roman"/>
      <w:sz w:val="18"/>
      <w:szCs w:val="18"/>
    </w:rPr>
  </w:style>
  <w:style w:type="paragraph" w:customStyle="1" w:styleId="a5">
    <w:name w:val="header"/>
    <w:uiPriority w:val="99"/>
    <w:basedOn w:val="a"/>
    <w:link w:val="Char0"/>
    <w:semiHidden/>
    <w:unhideWhenUsed/>
    <w:pPr>
      <w:snapToGrid w:val="0"/>
      <w:tabs>
        <w:tab w:val="center" w:pos="4513"/>
        <w:tab w:val="right" w:pos="9026"/>
      </w:tabs>
    </w:pPr>
  </w:style>
  <w:style w:type="character" w:customStyle="1" w:styleId="Char0">
    <w:name w:val="머리글 Char"/>
    <w:uiPriority w:val="99"/>
    <w:basedOn w:val="a0"/>
    <w:link w:val="a5"/>
    <w:semiHidden/>
    <w:rPr>
      <w:rFonts w:ascii="맑은 고딕" w:eastAsia="맑은 고딕" w:hAnsi="맑은 고딕" w:cs="Times New Roman"/>
    </w:rPr>
  </w:style>
  <w:style w:type="paragraph" w:customStyle="1" w:styleId="a6">
    <w:name w:val="footer"/>
    <w:uiPriority w:val="99"/>
    <w:basedOn w:val="a"/>
    <w:link w:val="Char2"/>
    <w:semiHidden/>
    <w:unhideWhenUsed/>
    <w:pPr>
      <w:snapToGrid w:val="0"/>
      <w:tabs>
        <w:tab w:val="center" w:pos="4513"/>
        <w:tab w:val="right" w:pos="9026"/>
      </w:tabs>
    </w:pPr>
  </w:style>
  <w:style w:type="character" w:customStyle="1" w:styleId="Char2">
    <w:name w:val="바닥글 Char"/>
    <w:uiPriority w:val="99"/>
    <w:basedOn w:val="a0"/>
    <w:link w:val="a6"/>
    <w:semiHidden/>
    <w:rPr>
      <w:rFonts w:ascii="맑은 고딕" w:eastAsia="맑은 고딕" w:hAnsi="맑은 고딕"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image" Target="media/image1.jpeg" /><Relationship Id="rId2" Type="http://schemas.openxmlformats.org/officeDocument/2006/relationships/image" Target="media/image2.png"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김다빈</dc:creator>
  <cp:keywords/>
  <dc:description/>
  <cp:lastModifiedBy>김다빈</cp:lastModifiedBy>
  <cp:revision>1</cp:revision>
  <dcterms:created xsi:type="dcterms:W3CDTF">2026-08-31T05:32:00Z</dcterms:created>
  <dcterms:modified xsi:type="dcterms:W3CDTF">2026-09-01T07:25:40Z</dcterms:modified>
  <cp:version>1100.0100.01</cp:version>
</cp:coreProperties>
</file>