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23"/>
        <w:gridCol w:w="4033"/>
        <w:gridCol w:w="282"/>
        <w:gridCol w:w="1443"/>
      </w:tblGrid>
      <w:tr w:rsidR="007B7F62" w:rsidRPr="00537F1E" w:rsidTr="006B2658">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7B7F62" w:rsidRPr="00E96DBA" w:rsidRDefault="007B7F62" w:rsidP="006B2658">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7B7F62" w:rsidRPr="00E96DBA" w:rsidRDefault="007B7F62" w:rsidP="006B2658">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7B7F62" w:rsidRPr="00FE0664" w:rsidRDefault="007B7F62" w:rsidP="006B2658">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7B7F62" w:rsidRPr="00FE0664" w:rsidRDefault="007B7F62" w:rsidP="006B2658">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7B7F62" w:rsidRPr="002B17D1" w:rsidRDefault="007B7F62" w:rsidP="006B2658">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r w:rsidRPr="00FE0664">
              <w:rPr>
                <w:rFonts w:ascii="Times New Roman" w:eastAsia="휴먼명조" w:hAnsi="Times New Roman"/>
                <w:sz w:val="24"/>
                <w:szCs w:val="26"/>
              </w:rPr>
              <w:t xml:space="preserve"> </w:t>
            </w:r>
          </w:p>
        </w:tc>
      </w:tr>
      <w:tr w:rsidR="007B7F62" w:rsidRPr="00537F1E" w:rsidTr="006B2658">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7B7F62" w:rsidRPr="006A06B4" w:rsidRDefault="007B7F62" w:rsidP="006B2658">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FE0664">
              <w:rPr>
                <w:rFonts w:ascii="HY견고딕" w:eastAsia="HY견고딕" w:hAnsi="돋움" w:cs="굴림"/>
                <w:color w:val="000000"/>
                <w:kern w:val="0"/>
                <w:szCs w:val="20"/>
              </w:rPr>
              <w:t xml:space="preserve">Division: </w:t>
            </w:r>
            <w:r w:rsidRPr="006A06B4">
              <w:rPr>
                <w:rFonts w:ascii="HY견고딕" w:eastAsia="HY견고딕" w:hAnsi="돋움" w:cs="굴림"/>
                <w:color w:val="000000"/>
                <w:kern w:val="0"/>
                <w:szCs w:val="20"/>
              </w:rPr>
              <w:t xml:space="preserve">National Research Institute of Cultural Heritage </w:t>
            </w:r>
          </w:p>
          <w:p w:rsidR="007B7F62" w:rsidRPr="00FE0664" w:rsidRDefault="007B7F62" w:rsidP="006B2658">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6A06B4">
              <w:rPr>
                <w:rFonts w:ascii="HY견고딕" w:eastAsia="HY견고딕" w:hAnsi="돋움" w:cs="굴림"/>
                <w:color w:val="000000"/>
                <w:kern w:val="0"/>
                <w:szCs w:val="20"/>
              </w:rPr>
              <w:t xml:space="preserve">          Research Division of </w:t>
            </w:r>
            <w:proofErr w:type="spellStart"/>
            <w:r w:rsidRPr="006A06B4">
              <w:rPr>
                <w:rFonts w:ascii="HY견고딕" w:eastAsia="HY견고딕" w:hAnsi="돋움" w:cs="굴림"/>
                <w:color w:val="000000"/>
                <w:kern w:val="0"/>
                <w:szCs w:val="20"/>
              </w:rPr>
              <w:t>Archaelogy</w:t>
            </w:r>
            <w:proofErr w:type="spellEnd"/>
          </w:p>
          <w:p w:rsidR="007B7F62" w:rsidRPr="006A06B4" w:rsidRDefault="007B7F62" w:rsidP="006B2658">
            <w:pPr>
              <w:widowControl/>
              <w:wordWrap/>
              <w:autoSpaceDE/>
              <w:autoSpaceDN/>
              <w:snapToGrid w:val="0"/>
              <w:spacing w:after="0" w:line="384" w:lineRule="auto"/>
              <w:ind w:left="120" w:right="120"/>
              <w:jc w:val="left"/>
              <w:rPr>
                <w:rFonts w:ascii="HY견고딕" w:eastAsia="HY견고딕" w:hAnsi="돋움" w:cs="굴림"/>
                <w:color w:val="000000"/>
                <w:kern w:val="0"/>
                <w:sz w:val="22"/>
              </w:rPr>
            </w:pPr>
            <w:r w:rsidRPr="002B17D1">
              <w:rPr>
                <w:rFonts w:ascii="HY견고딕" w:eastAsia="HY견고딕" w:hAnsi="돋움" w:cs="굴림"/>
                <w:color w:val="000000"/>
                <w:kern w:val="0"/>
                <w:sz w:val="22"/>
              </w:rPr>
              <w:t xml:space="preserve">Contact person: </w:t>
            </w:r>
            <w:r w:rsidRPr="006A06B4">
              <w:rPr>
                <w:rFonts w:ascii="HY견고딕" w:eastAsia="HY견고딕" w:hAnsi="돋움" w:cs="굴림"/>
                <w:color w:val="000000"/>
                <w:kern w:val="0"/>
                <w:sz w:val="22"/>
              </w:rPr>
              <w:t xml:space="preserve">KWON </w:t>
            </w:r>
            <w:proofErr w:type="spellStart"/>
            <w:r w:rsidRPr="006A06B4">
              <w:rPr>
                <w:rFonts w:ascii="HY견고딕" w:eastAsia="HY견고딕" w:hAnsi="돋움" w:cs="굴림"/>
                <w:color w:val="000000"/>
                <w:kern w:val="0"/>
                <w:sz w:val="22"/>
              </w:rPr>
              <w:t>Taekjang</w:t>
            </w:r>
            <w:proofErr w:type="spellEnd"/>
            <w:r w:rsidRPr="006A06B4">
              <w:rPr>
                <w:rFonts w:ascii="HY견고딕" w:eastAsia="HY견고딕" w:hAnsi="돋움" w:cs="굴림"/>
                <w:color w:val="000000"/>
                <w:kern w:val="0"/>
                <w:sz w:val="22"/>
              </w:rPr>
              <w:t>(82-42-860-9172),</w:t>
            </w:r>
          </w:p>
          <w:p w:rsidR="007B7F62" w:rsidRPr="00E96DBA" w:rsidRDefault="007B7F62" w:rsidP="006B2658">
            <w:pPr>
              <w:widowControl/>
              <w:wordWrap/>
              <w:autoSpaceDE/>
              <w:autoSpaceDN/>
              <w:snapToGrid w:val="0"/>
              <w:spacing w:after="0" w:line="384" w:lineRule="auto"/>
              <w:ind w:leftChars="60" w:left="120" w:right="120" w:firstLineChars="900" w:firstLine="1980"/>
              <w:jc w:val="left"/>
              <w:rPr>
                <w:rFonts w:ascii="돋움" w:eastAsia="돋움" w:hAnsi="돋움" w:cs="굴림"/>
                <w:color w:val="000000"/>
                <w:kern w:val="0"/>
                <w:sz w:val="22"/>
              </w:rPr>
            </w:pPr>
            <w:r w:rsidRPr="006A06B4">
              <w:rPr>
                <w:rFonts w:ascii="HY견고딕" w:eastAsia="HY견고딕" w:hAnsi="돋움" w:cs="굴림"/>
                <w:color w:val="000000"/>
                <w:kern w:val="0"/>
                <w:sz w:val="22"/>
              </w:rPr>
              <w:t xml:space="preserve">LEE </w:t>
            </w:r>
            <w:proofErr w:type="spellStart"/>
            <w:r w:rsidRPr="006A06B4">
              <w:rPr>
                <w:rFonts w:ascii="HY견고딕" w:eastAsia="HY견고딕" w:hAnsi="돋움" w:cs="굴림"/>
                <w:color w:val="000000"/>
                <w:kern w:val="0"/>
                <w:sz w:val="22"/>
              </w:rPr>
              <w:t>Chorong</w:t>
            </w:r>
            <w:proofErr w:type="spellEnd"/>
            <w:r w:rsidRPr="006A06B4">
              <w:rPr>
                <w:rFonts w:ascii="HY견고딕" w:eastAsia="HY견고딕" w:hAnsi="돋움" w:cs="굴림"/>
                <w:color w:val="000000"/>
                <w:kern w:val="0"/>
                <w:sz w:val="22"/>
              </w:rPr>
              <w:t>(82-42-860-9180)</w:t>
            </w:r>
          </w:p>
        </w:tc>
        <w:tc>
          <w:tcPr>
            <w:tcW w:w="234" w:type="dxa"/>
            <w:tcBorders>
              <w:top w:val="single" w:sz="2" w:space="0" w:color="939393"/>
              <w:left w:val="nil"/>
              <w:bottom w:val="single" w:sz="12" w:space="0" w:color="353535"/>
              <w:right w:val="nil"/>
            </w:tcBorders>
          </w:tcPr>
          <w:p w:rsidR="007B7F62" w:rsidRPr="00E96DBA" w:rsidRDefault="007B7F62" w:rsidP="006B2658">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7B7F62" w:rsidRPr="00E96DBA" w:rsidRDefault="007B7F62" w:rsidP="006B2658">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7B7F62" w:rsidRDefault="007B7F62" w:rsidP="007B7F62">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9026"/>
      </w:tblGrid>
      <w:tr w:rsidR="007B7F62" w:rsidRPr="00E96DBA" w:rsidTr="00F85C43">
        <w:trPr>
          <w:trHeight w:val="349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F85C43" w:rsidRPr="00F85C43" w:rsidRDefault="00F85C43" w:rsidP="00F85C43">
            <w:pPr>
              <w:widowControl/>
              <w:wordWrap/>
              <w:autoSpaceDE/>
              <w:autoSpaceDN/>
              <w:snapToGrid w:val="0"/>
              <w:spacing w:after="400"/>
              <w:jc w:val="center"/>
              <w:rPr>
                <w:rFonts w:ascii="Times New Roman" w:eastAsia="HY견고딕" w:hAnsi="Times New Roman"/>
                <w:b/>
                <w:color w:val="000000"/>
                <w:kern w:val="0"/>
                <w:sz w:val="48"/>
                <w:szCs w:val="48"/>
              </w:rPr>
            </w:pPr>
            <w:r w:rsidRPr="00F85C43">
              <w:rPr>
                <w:rFonts w:ascii="Times New Roman" w:eastAsia="HY견고딕" w:hAnsi="Times New Roman"/>
                <w:b/>
                <w:color w:val="000000"/>
                <w:kern w:val="0"/>
                <w:sz w:val="48"/>
                <w:szCs w:val="48"/>
              </w:rPr>
              <w:t xml:space="preserve">National Research Institute of Cultural Heritage publishes </w:t>
            </w:r>
            <w:r w:rsidRPr="00F85C43">
              <w:rPr>
                <w:rFonts w:ascii="Times New Roman" w:eastAsia="HY견고딕" w:hAnsi="Times New Roman"/>
                <w:b/>
                <w:iCs/>
                <w:color w:val="000000"/>
                <w:kern w:val="0"/>
                <w:sz w:val="48"/>
                <w:szCs w:val="48"/>
              </w:rPr>
              <w:t xml:space="preserve">The Dictionary of Korean Archaeology </w:t>
            </w:r>
            <w:r w:rsidRPr="00F85C43">
              <w:rPr>
                <w:rFonts w:ascii="Times New Roman" w:eastAsia="바탕" w:hAnsi="Times New Roman"/>
                <w:b/>
                <w:iCs/>
                <w:color w:val="000000"/>
                <w:kern w:val="0"/>
                <w:sz w:val="48"/>
                <w:szCs w:val="48"/>
              </w:rPr>
              <w:t>–</w:t>
            </w:r>
            <w:r w:rsidRPr="00F85C43">
              <w:rPr>
                <w:rFonts w:ascii="Times New Roman" w:eastAsia="HY견고딕" w:hAnsi="Times New Roman"/>
                <w:b/>
                <w:iCs/>
                <w:color w:val="000000"/>
                <w:kern w:val="0"/>
                <w:sz w:val="48"/>
                <w:szCs w:val="48"/>
              </w:rPr>
              <w:t xml:space="preserve"> Bronze Age - (revised and expanded)</w:t>
            </w:r>
            <w:r w:rsidRPr="00F85C43">
              <w:rPr>
                <w:rFonts w:ascii="Times New Roman" w:eastAsia="HY견고딕" w:hAnsi="Times New Roman"/>
                <w:b/>
                <w:color w:val="000000"/>
                <w:kern w:val="0"/>
                <w:sz w:val="48"/>
                <w:szCs w:val="48"/>
              </w:rPr>
              <w:t>.</w:t>
            </w:r>
          </w:p>
          <w:p w:rsidR="007B7F62" w:rsidRPr="00F85C43" w:rsidRDefault="00F85C43" w:rsidP="00F85C43">
            <w:pPr>
              <w:widowControl/>
              <w:wordWrap/>
              <w:autoSpaceDE/>
              <w:autoSpaceDN/>
              <w:snapToGrid w:val="0"/>
              <w:spacing w:after="400"/>
              <w:jc w:val="center"/>
              <w:rPr>
                <w:rFonts w:ascii="Times New Roman" w:eastAsia="HY견고딕" w:hAnsi="Times New Roman"/>
                <w:color w:val="000000"/>
                <w:kern w:val="0"/>
                <w:sz w:val="28"/>
                <w:szCs w:val="28"/>
              </w:rPr>
            </w:pPr>
            <w:r w:rsidRPr="00F85C43">
              <w:rPr>
                <w:rFonts w:ascii="Times New Roman" w:eastAsia="HY견고딕" w:hAnsi="Times New Roman"/>
                <w:color w:val="000000"/>
                <w:kern w:val="0"/>
                <w:sz w:val="28"/>
                <w:szCs w:val="28"/>
              </w:rPr>
              <w:t>- Idioms, images and plans of up-to-date studies supplemented -</w:t>
            </w:r>
          </w:p>
        </w:tc>
      </w:tr>
    </w:tbl>
    <w:p w:rsidR="007B7F62" w:rsidRPr="00E96DBA" w:rsidRDefault="007B7F62" w:rsidP="007B7F62">
      <w:pPr>
        <w:spacing w:after="0" w:line="384" w:lineRule="auto"/>
        <w:textAlignment w:val="baseline"/>
        <w:rPr>
          <w:rFonts w:ascii="한컴바탕" w:eastAsia="한컴바탕" w:hAnsi="한컴바탕" w:cs="한컴바탕"/>
          <w:color w:val="000000"/>
          <w:kern w:val="0"/>
          <w:szCs w:val="20"/>
        </w:rPr>
      </w:pPr>
    </w:p>
    <w:p w:rsidR="00F85C43" w:rsidRPr="00F85C43" w:rsidRDefault="00F85C43" w:rsidP="00F85C43">
      <w:pPr>
        <w:widowControl/>
        <w:wordWrap/>
        <w:autoSpaceDE/>
        <w:autoSpaceDN/>
        <w:snapToGrid w:val="0"/>
        <w:spacing w:after="400" w:line="396" w:lineRule="auto"/>
        <w:rPr>
          <w:rFonts w:ascii="Times New Roman" w:eastAsia="휴먼명조" w:hAnsi="Times New Roman"/>
          <w:color w:val="000000"/>
          <w:kern w:val="0"/>
          <w:sz w:val="26"/>
          <w:szCs w:val="26"/>
        </w:rPr>
      </w:pPr>
      <w:r w:rsidRPr="00F85C43">
        <w:rPr>
          <w:rFonts w:ascii="Times New Roman" w:eastAsia="휴먼명조" w:hAnsi="Times New Roman"/>
          <w:color w:val="000000"/>
          <w:kern w:val="0"/>
          <w:sz w:val="26"/>
          <w:szCs w:val="26"/>
        </w:rPr>
        <w:t xml:space="preserve">The National Research Institute of cultural Heritage publishes three volumes – </w:t>
      </w:r>
      <w:r w:rsidRPr="00F85C43">
        <w:rPr>
          <w:rFonts w:ascii="Times New Roman" w:eastAsia="휴먼명조" w:hAnsi="Times New Roman"/>
          <w:iCs/>
          <w:color w:val="000000"/>
          <w:kern w:val="0"/>
          <w:sz w:val="26"/>
          <w:szCs w:val="26"/>
        </w:rPr>
        <w:t>Korea (Volumes I and II)</w:t>
      </w:r>
      <w:r w:rsidRPr="00F85C43">
        <w:rPr>
          <w:rFonts w:ascii="Times New Roman" w:eastAsia="휴먼명조" w:hAnsi="Times New Roman"/>
          <w:color w:val="000000"/>
          <w:kern w:val="0"/>
          <w:sz w:val="26"/>
          <w:szCs w:val="26"/>
        </w:rPr>
        <w:t xml:space="preserve">, and </w:t>
      </w:r>
      <w:r w:rsidRPr="00F85C43">
        <w:rPr>
          <w:rFonts w:ascii="Times New Roman" w:eastAsia="휴먼명조" w:hAnsi="Times New Roman"/>
          <w:iCs/>
          <w:color w:val="000000"/>
          <w:kern w:val="0"/>
          <w:sz w:val="26"/>
          <w:szCs w:val="26"/>
        </w:rPr>
        <w:t>CHN·JPN·KAZ·MNG·RUS (Volume III)</w:t>
      </w:r>
      <w:r w:rsidRPr="00F85C43">
        <w:rPr>
          <w:rFonts w:ascii="Times New Roman" w:eastAsia="휴먼명조" w:hAnsi="Times New Roman"/>
          <w:color w:val="000000"/>
          <w:kern w:val="0"/>
          <w:sz w:val="26"/>
          <w:szCs w:val="26"/>
        </w:rPr>
        <w:t xml:space="preserve">, of revised and expanded version of the </w:t>
      </w:r>
      <w:r w:rsidRPr="00F85C43">
        <w:rPr>
          <w:rFonts w:ascii="Times New Roman" w:eastAsia="휴먼명조" w:hAnsi="Times New Roman"/>
          <w:iCs/>
          <w:color w:val="000000"/>
          <w:kern w:val="0"/>
          <w:sz w:val="26"/>
          <w:szCs w:val="26"/>
        </w:rPr>
        <w:t>Dictionary of Korean Archaeology – Bronze Age –</w:t>
      </w:r>
      <w:r w:rsidRPr="00F85C43">
        <w:rPr>
          <w:rFonts w:ascii="Times New Roman" w:eastAsia="휴먼명조" w:hAnsi="Times New Roman"/>
          <w:color w:val="000000"/>
          <w:kern w:val="0"/>
          <w:sz w:val="26"/>
          <w:szCs w:val="26"/>
        </w:rPr>
        <w:t xml:space="preserve"> supplemented with up-to-date research outcomes from after publishing the </w:t>
      </w:r>
      <w:r w:rsidRPr="00F85C43">
        <w:rPr>
          <w:rFonts w:ascii="Times New Roman" w:eastAsia="휴먼명조" w:hAnsi="Times New Roman"/>
          <w:iCs/>
          <w:color w:val="000000"/>
          <w:kern w:val="0"/>
          <w:sz w:val="26"/>
          <w:szCs w:val="26"/>
        </w:rPr>
        <w:t xml:space="preserve">Dictionary of Korean Archaeology – Bronze Age – </w:t>
      </w:r>
      <w:r w:rsidRPr="00F85C43">
        <w:rPr>
          <w:rFonts w:ascii="Times New Roman" w:eastAsia="휴먼명조" w:hAnsi="Times New Roman"/>
          <w:color w:val="000000"/>
          <w:kern w:val="0"/>
          <w:sz w:val="26"/>
          <w:szCs w:val="26"/>
        </w:rPr>
        <w:t>in 2004.</w:t>
      </w:r>
    </w:p>
    <w:p w:rsidR="00F85C43" w:rsidRPr="00F85C43" w:rsidRDefault="00F85C43" w:rsidP="00F85C43">
      <w:pPr>
        <w:widowControl/>
        <w:wordWrap/>
        <w:autoSpaceDE/>
        <w:autoSpaceDN/>
        <w:snapToGrid w:val="0"/>
        <w:spacing w:after="400" w:line="396" w:lineRule="auto"/>
        <w:rPr>
          <w:rFonts w:ascii="Times New Roman" w:eastAsia="휴먼명조" w:hAnsi="Times New Roman"/>
          <w:color w:val="000000"/>
          <w:kern w:val="0"/>
          <w:sz w:val="26"/>
          <w:szCs w:val="26"/>
        </w:rPr>
      </w:pPr>
      <w:r w:rsidRPr="00F85C43">
        <w:rPr>
          <w:rFonts w:ascii="Times New Roman" w:eastAsia="휴먼명조" w:hAnsi="Times New Roman"/>
          <w:color w:val="000000"/>
          <w:kern w:val="0"/>
          <w:sz w:val="26"/>
          <w:szCs w:val="26"/>
        </w:rPr>
        <w:t>To help the public to clearly apprehend, a total of 2,132 entries including 221 terms (130 from Korea, 91 from overseas) and 1,911 (1,516 from Korea, 395 from overseas) archaeological sites were included as well as visual materials such as plans and images.</w:t>
      </w:r>
    </w:p>
    <w:p w:rsidR="00F85C43" w:rsidRPr="00F85C43" w:rsidRDefault="00F85C43" w:rsidP="00F85C43">
      <w:pPr>
        <w:widowControl/>
        <w:wordWrap/>
        <w:autoSpaceDE/>
        <w:autoSpaceDN/>
        <w:snapToGrid w:val="0"/>
        <w:spacing w:after="400" w:line="396" w:lineRule="auto"/>
        <w:rPr>
          <w:rFonts w:ascii="Times New Roman" w:eastAsia="휴먼명조" w:hAnsi="Times New Roman"/>
          <w:iCs/>
          <w:color w:val="000000"/>
          <w:kern w:val="0"/>
          <w:sz w:val="26"/>
          <w:szCs w:val="26"/>
        </w:rPr>
      </w:pPr>
      <w:r w:rsidRPr="00F85C43">
        <w:rPr>
          <w:rFonts w:ascii="Times New Roman" w:eastAsia="휴먼명조" w:hAnsi="Times New Roman"/>
          <w:iCs/>
          <w:color w:val="000000"/>
          <w:kern w:val="0"/>
          <w:sz w:val="26"/>
          <w:szCs w:val="26"/>
        </w:rPr>
        <w:t xml:space="preserve">Volumes I and II (Korea) were supplemented with the most recent research outcomes and constitute 2 books. while Volume III (CHN·JPN·KAZ·MNG·RUS) contains details about archaeological sites, artifacts and related terms about Japan, China, Russia and other </w:t>
      </w:r>
      <w:r w:rsidRPr="00F85C43">
        <w:rPr>
          <w:rFonts w:ascii="Times New Roman" w:eastAsia="휴먼명조" w:hAnsi="Times New Roman"/>
          <w:iCs/>
          <w:color w:val="000000"/>
          <w:kern w:val="0"/>
          <w:sz w:val="26"/>
          <w:szCs w:val="26"/>
        </w:rPr>
        <w:lastRenderedPageBreak/>
        <w:t xml:space="preserve">countries to help understand the extensive Bronze Age cultures within Northeast Asia alongside Korean Peninsula. </w:t>
      </w:r>
    </w:p>
    <w:p w:rsidR="00F85C43" w:rsidRPr="00F85C43" w:rsidRDefault="00F85C43" w:rsidP="00F85C43">
      <w:pPr>
        <w:widowControl/>
        <w:wordWrap/>
        <w:autoSpaceDE/>
        <w:autoSpaceDN/>
        <w:snapToGrid w:val="0"/>
        <w:spacing w:after="400" w:line="396" w:lineRule="auto"/>
        <w:rPr>
          <w:rFonts w:ascii="Times New Roman" w:eastAsia="휴먼명조" w:hAnsi="Times New Roman"/>
          <w:color w:val="000000"/>
          <w:kern w:val="0"/>
          <w:sz w:val="26"/>
          <w:szCs w:val="26"/>
        </w:rPr>
      </w:pPr>
      <w:r w:rsidRPr="00F85C43">
        <w:rPr>
          <w:rFonts w:ascii="Times New Roman" w:eastAsia="휴먼명조" w:hAnsi="Times New Roman"/>
          <w:color w:val="000000"/>
          <w:kern w:val="0"/>
          <w:sz w:val="26"/>
          <w:szCs w:val="26"/>
        </w:rPr>
        <w:t>Moreover, this revised and extended version puts forward a “Hangeul Standardization of Bronze Age terminology”, clarifying frequently used Sino-Korean words in relation to the Bronze Age to help readers to comprehend and utilize the materials even better. It is hoped to set a guideline which can be used within any kind of media including exhibitions, books and audiovisual materials related to archaeology and facilitate people to understand our cultural heritage.</w:t>
      </w:r>
    </w:p>
    <w:p w:rsidR="00F85C43" w:rsidRPr="00F85C43" w:rsidRDefault="00F85C43" w:rsidP="00F85C43">
      <w:pPr>
        <w:widowControl/>
        <w:wordWrap/>
        <w:autoSpaceDE/>
        <w:autoSpaceDN/>
        <w:snapToGrid w:val="0"/>
        <w:spacing w:after="400" w:line="396" w:lineRule="auto"/>
        <w:rPr>
          <w:rFonts w:ascii="Times New Roman" w:eastAsia="휴먼명조" w:hAnsi="Times New Roman"/>
          <w:color w:val="000000"/>
          <w:kern w:val="0"/>
          <w:sz w:val="26"/>
          <w:szCs w:val="26"/>
        </w:rPr>
      </w:pPr>
      <w:r w:rsidRPr="00F85C43">
        <w:rPr>
          <w:rFonts w:ascii="Times New Roman" w:eastAsia="휴먼명조" w:hAnsi="Times New Roman"/>
          <w:iCs/>
          <w:color w:val="000000"/>
          <w:kern w:val="0"/>
          <w:sz w:val="26"/>
          <w:szCs w:val="26"/>
        </w:rPr>
        <w:t>The revised and extended Dictionary of Korean Archaeology – Bronze Age –</w:t>
      </w:r>
      <w:r w:rsidRPr="00F85C43">
        <w:rPr>
          <w:rFonts w:ascii="Times New Roman" w:eastAsia="휴먼명조" w:hAnsi="Times New Roman"/>
          <w:color w:val="000000"/>
          <w:kern w:val="0"/>
          <w:sz w:val="26"/>
          <w:szCs w:val="26"/>
        </w:rPr>
        <w:t xml:space="preserve"> will be distributed to research institutions, affiliated establishments and researchers nationwide, and made available on the Cultural Heritage Research Knowledge Web Portal (</w:t>
      </w:r>
      <w:hyperlink r:id="rId6" w:history="1">
        <w:r w:rsidRPr="00F85C43">
          <w:rPr>
            <w:rFonts w:ascii="Times New Roman" w:eastAsia="휴먼명조" w:hAnsi="Times New Roman"/>
            <w:color w:val="0000FF"/>
            <w:kern w:val="0"/>
            <w:sz w:val="26"/>
            <w:szCs w:val="26"/>
            <w:u w:val="single"/>
          </w:rPr>
          <w:t>http://portal.nrich.go.kr</w:t>
        </w:r>
      </w:hyperlink>
      <w:r w:rsidRPr="00F85C43">
        <w:rPr>
          <w:rFonts w:ascii="Times New Roman" w:eastAsia="휴먼명조" w:hAnsi="Times New Roman"/>
          <w:color w:val="000000"/>
          <w:kern w:val="0"/>
          <w:sz w:val="26"/>
          <w:szCs w:val="26"/>
        </w:rPr>
        <w:t xml:space="preserve">) for the general public. </w:t>
      </w:r>
    </w:p>
    <w:p w:rsidR="00F239B9" w:rsidRPr="00F85C43" w:rsidRDefault="00F85C43" w:rsidP="00F85C43">
      <w:pPr>
        <w:widowControl/>
        <w:wordWrap/>
        <w:autoSpaceDE/>
        <w:autoSpaceDN/>
        <w:snapToGrid w:val="0"/>
        <w:spacing w:after="400" w:line="396" w:lineRule="auto"/>
        <w:rPr>
          <w:rFonts w:ascii="Times New Roman" w:eastAsia="휴먼명조" w:hAnsi="Times New Roman"/>
          <w:color w:val="000000"/>
          <w:kern w:val="0"/>
          <w:sz w:val="26"/>
          <w:szCs w:val="26"/>
        </w:rPr>
      </w:pPr>
      <w:r w:rsidRPr="00F85C43">
        <w:rPr>
          <w:rFonts w:ascii="Times New Roman" w:eastAsia="휴먼명조" w:hAnsi="Times New Roman"/>
          <w:color w:val="000000"/>
          <w:kern w:val="0"/>
          <w:sz w:val="26"/>
          <w:szCs w:val="26"/>
        </w:rPr>
        <w:t xml:space="preserve">Lastly, the National Research Institute of Cultural Heritage of the Cultural Heritage Administration plans to conclude the publication of the </w:t>
      </w:r>
      <w:r w:rsidRPr="00F85C43">
        <w:rPr>
          <w:rFonts w:ascii="Times New Roman" w:eastAsia="휴먼명조" w:hAnsi="Times New Roman"/>
          <w:iCs/>
          <w:color w:val="000000"/>
          <w:kern w:val="0"/>
          <w:sz w:val="26"/>
          <w:szCs w:val="26"/>
        </w:rPr>
        <w:t>Dictionary of Korean Archaeology</w:t>
      </w:r>
      <w:r w:rsidRPr="00F85C43">
        <w:rPr>
          <w:rFonts w:ascii="Times New Roman" w:eastAsia="휴먼명조" w:hAnsi="Times New Roman"/>
          <w:color w:val="000000"/>
          <w:kern w:val="0"/>
          <w:sz w:val="26"/>
          <w:szCs w:val="26"/>
        </w:rPr>
        <w:t xml:space="preserve"> in the form of printed materials with this issue and go through a digital conversion and make all previously published contents and future study outcomes digitally available online to facilitate the access and utilization thereof. </w:t>
      </w:r>
    </w:p>
    <w:sectPr w:rsidR="00F239B9" w:rsidRPr="00F85C43" w:rsidSect="00B53C36">
      <w:pgSz w:w="11906" w:h="16838"/>
      <w:pgMar w:top="1020" w:right="1134" w:bottom="1587" w:left="1134" w:header="1020"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바탕"/>
    <w:panose1 w:val="00000000000000000000"/>
    <w:charset w:val="00"/>
    <w:family w:val="auto"/>
    <w:notTrueType/>
    <w:pitch w:val="default"/>
    <w:sig w:usb0="00000003" w:usb1="00000000" w:usb2="00000000" w:usb3="00000000" w:csb0="00000001" w:csb1="00000000"/>
  </w:font>
  <w:font w:name="함초롬바탕">
    <w:altName w:val="바탕"/>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0000000000000000000"/>
    <w:charset w:val="81"/>
    <w:family w:val="auto"/>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B7F62"/>
    <w:rsid w:val="002717C8"/>
    <w:rsid w:val="007B7F62"/>
    <w:rsid w:val="00E02F8B"/>
    <w:rsid w:val="00F209D7"/>
    <w:rsid w:val="00F67B8D"/>
    <w:rsid w:val="00F85C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62"/>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7B7F62"/>
    <w:pPr>
      <w:widowControl w:val="0"/>
      <w:wordWrap w:val="0"/>
      <w:autoSpaceDE w:val="0"/>
      <w:autoSpaceDN w:val="0"/>
      <w:adjustRightInd w:val="0"/>
      <w:spacing w:line="384" w:lineRule="auto"/>
      <w:jc w:val="both"/>
      <w:textAlignment w:val="baseline"/>
    </w:pPr>
    <w:rPr>
      <w:rFonts w:ascii="ÇÑÄÄ¹ÙÅÁ" w:eastAsia="맑은 고딕" w:hAnsi="ÇÑÄÄ¹ÙÅÁ" w:cs="ÇÑÄÄ¹ÙÅÁ"/>
      <w:color w:val="000000"/>
      <w:kern w:val="0"/>
      <w:szCs w:val="20"/>
    </w:rPr>
  </w:style>
  <w:style w:type="paragraph" w:styleId="a4">
    <w:name w:val="Balloon Text"/>
    <w:basedOn w:val="a"/>
    <w:link w:val="Char"/>
    <w:uiPriority w:val="99"/>
    <w:semiHidden/>
    <w:unhideWhenUsed/>
    <w:rsid w:val="007B7F6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B7F62"/>
    <w:rPr>
      <w:rFonts w:asciiTheme="majorHAnsi" w:eastAsiaTheme="majorEastAsia" w:hAnsiTheme="majorHAnsi" w:cstheme="majorBidi"/>
      <w:sz w:val="18"/>
      <w:szCs w:val="18"/>
    </w:rPr>
  </w:style>
  <w:style w:type="character" w:styleId="a5">
    <w:name w:val="Hyperlink"/>
    <w:basedOn w:val="a0"/>
    <w:uiPriority w:val="99"/>
    <w:semiHidden/>
    <w:unhideWhenUsed/>
    <w:rsid w:val="00F85C43"/>
    <w:rPr>
      <w:color w:val="0000FF"/>
      <w:u w:val="single"/>
    </w:rPr>
  </w:style>
</w:styles>
</file>

<file path=word/webSettings.xml><?xml version="1.0" encoding="utf-8"?>
<w:webSettings xmlns:r="http://schemas.openxmlformats.org/officeDocument/2006/relationships" xmlns:w="http://schemas.openxmlformats.org/wordprocessingml/2006/main">
  <w:divs>
    <w:div w:id="86851775">
      <w:bodyDiv w:val="1"/>
      <w:marLeft w:val="0"/>
      <w:marRight w:val="0"/>
      <w:marTop w:val="0"/>
      <w:marBottom w:val="0"/>
      <w:divBdr>
        <w:top w:val="none" w:sz="0" w:space="0" w:color="auto"/>
        <w:left w:val="none" w:sz="0" w:space="0" w:color="auto"/>
        <w:bottom w:val="none" w:sz="0" w:space="0" w:color="auto"/>
        <w:right w:val="none" w:sz="0" w:space="0" w:color="auto"/>
      </w:divBdr>
    </w:div>
    <w:div w:id="621689313">
      <w:bodyDiv w:val="1"/>
      <w:marLeft w:val="0"/>
      <w:marRight w:val="0"/>
      <w:marTop w:val="0"/>
      <w:marBottom w:val="0"/>
      <w:divBdr>
        <w:top w:val="none" w:sz="0" w:space="0" w:color="auto"/>
        <w:left w:val="none" w:sz="0" w:space="0" w:color="auto"/>
        <w:bottom w:val="none" w:sz="0" w:space="0" w:color="auto"/>
        <w:right w:val="none" w:sz="0" w:space="0" w:color="auto"/>
      </w:divBdr>
    </w:div>
    <w:div w:id="1678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nrich.go.k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yna</cp:lastModifiedBy>
  <cp:revision>2</cp:revision>
  <dcterms:created xsi:type="dcterms:W3CDTF">2022-07-21T22:54:00Z</dcterms:created>
  <dcterms:modified xsi:type="dcterms:W3CDTF">2022-07-23T04:19:00Z</dcterms:modified>
</cp:coreProperties>
</file>